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5F88B">
      <w:pPr>
        <w:pStyle w:val="27"/>
        <w:adjustRightInd/>
        <w:ind w:firstLine="1928"/>
        <w:jc w:val="center"/>
        <w:rPr>
          <w:rFonts w:hint="eastAsia" w:ascii="新宋体" w:hAnsi="新宋体" w:eastAsia="新宋体"/>
          <w:b/>
          <w:bCs/>
          <w:sz w:val="96"/>
          <w:highlight w:val="none"/>
        </w:rPr>
      </w:pPr>
    </w:p>
    <w:p w14:paraId="19CCA5D2">
      <w:pPr>
        <w:pStyle w:val="27"/>
        <w:adjustRightInd/>
        <w:ind w:firstLine="472" w:firstLineChars="56"/>
        <w:jc w:val="center"/>
        <w:rPr>
          <w:rFonts w:hint="eastAsia" w:ascii="新宋体" w:hAnsi="新宋体" w:eastAsia="新宋体"/>
          <w:b/>
          <w:bCs/>
          <w:sz w:val="96"/>
          <w:highlight w:val="none"/>
        </w:rPr>
      </w:pPr>
      <w:r>
        <w:rPr>
          <w:rFonts w:hint="eastAsia" w:ascii="新宋体" w:hAnsi="新宋体" w:eastAsia="新宋体"/>
          <w:b/>
          <w:bCs/>
          <w:sz w:val="84"/>
          <w:szCs w:val="84"/>
          <w:highlight w:val="none"/>
        </w:rPr>
        <w:t>竞争性磋商文件</w:t>
      </w:r>
    </w:p>
    <w:p w14:paraId="5B021B0A">
      <w:pPr>
        <w:pStyle w:val="27"/>
        <w:adjustRightInd/>
        <w:ind w:firstLine="0" w:firstLineChars="0"/>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（全流程电子化）</w:t>
      </w:r>
    </w:p>
    <w:p w14:paraId="7AD43FD9">
      <w:pPr>
        <w:pStyle w:val="27"/>
        <w:adjustRightInd/>
        <w:rPr>
          <w:rFonts w:hint="eastAsia" w:ascii="新宋体" w:hAnsi="新宋体" w:eastAsia="新宋体"/>
          <w:b/>
          <w:bCs/>
          <w:highlight w:val="none"/>
        </w:rPr>
      </w:pPr>
    </w:p>
    <w:p w14:paraId="3BA25348">
      <w:pPr>
        <w:pStyle w:val="27"/>
        <w:adjustRightInd/>
        <w:rPr>
          <w:rFonts w:hint="eastAsia" w:ascii="新宋体" w:hAnsi="新宋体" w:eastAsia="新宋体"/>
          <w:b/>
          <w:bCs/>
          <w:highlight w:val="none"/>
        </w:rPr>
      </w:pPr>
    </w:p>
    <w:p w14:paraId="5D61B6EA">
      <w:pPr>
        <w:pStyle w:val="27"/>
        <w:adjustRightInd/>
        <w:rPr>
          <w:rFonts w:hint="eastAsia" w:ascii="新宋体" w:hAnsi="新宋体" w:eastAsia="新宋体"/>
          <w:b/>
          <w:bCs/>
          <w:highlight w:val="none"/>
        </w:rPr>
      </w:pPr>
    </w:p>
    <w:p w14:paraId="08B30CF9">
      <w:pPr>
        <w:pStyle w:val="27"/>
        <w:adjustRightInd/>
        <w:rPr>
          <w:rFonts w:hint="eastAsia" w:ascii="新宋体" w:hAnsi="新宋体" w:eastAsia="新宋体"/>
          <w:b/>
          <w:bCs/>
          <w:highlight w:val="none"/>
        </w:rPr>
      </w:pPr>
    </w:p>
    <w:p w14:paraId="58055764">
      <w:pPr>
        <w:pStyle w:val="27"/>
        <w:adjustRightInd/>
        <w:rPr>
          <w:rFonts w:hint="eastAsia" w:ascii="新宋体" w:hAnsi="新宋体" w:eastAsia="新宋体"/>
          <w:b/>
          <w:bCs/>
          <w:highlight w:val="none"/>
        </w:rPr>
      </w:pPr>
    </w:p>
    <w:p w14:paraId="5FF6743D">
      <w:pPr>
        <w:pStyle w:val="27"/>
        <w:adjustRightInd/>
        <w:rPr>
          <w:rFonts w:hint="eastAsia" w:ascii="新宋体" w:hAnsi="新宋体" w:eastAsia="新宋体"/>
          <w:b/>
          <w:bCs/>
          <w:highlight w:val="none"/>
        </w:rPr>
      </w:pPr>
    </w:p>
    <w:p w14:paraId="0CD62AFE">
      <w:pPr>
        <w:pStyle w:val="27"/>
        <w:adjustRightInd/>
        <w:ind w:firstLine="0" w:firstLineChars="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项目名称：</w:t>
      </w:r>
      <w:r>
        <w:rPr>
          <w:rFonts w:hint="eastAsia" w:ascii="新宋体" w:hAnsi="新宋体" w:eastAsia="新宋体"/>
          <w:b/>
          <w:bCs/>
          <w:sz w:val="32"/>
          <w:szCs w:val="32"/>
          <w:highlight w:val="none"/>
          <w:lang w:eastAsia="zh-CN"/>
        </w:rPr>
        <w:t>“中国医药城大健康产业论坛”策划执行服务项目</w:t>
      </w:r>
    </w:p>
    <w:p w14:paraId="0F3C1C28">
      <w:pPr>
        <w:pStyle w:val="27"/>
        <w:adjustRightInd/>
        <w:ind w:firstLine="0" w:firstLineChars="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项目编号：</w:t>
      </w:r>
      <w:r>
        <w:rPr>
          <w:rFonts w:hint="eastAsia" w:ascii="新宋体" w:hAnsi="新宋体" w:eastAsia="新宋体"/>
          <w:b/>
          <w:bCs/>
          <w:sz w:val="32"/>
          <w:szCs w:val="32"/>
          <w:highlight w:val="none"/>
          <w:lang w:eastAsia="zh-CN"/>
        </w:rPr>
        <w:t>JSZC-321203-HQGC-C2025-0055</w:t>
      </w:r>
    </w:p>
    <w:p w14:paraId="1010E1C2">
      <w:pPr>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采 购 人：</w:t>
      </w:r>
      <w:r>
        <w:rPr>
          <w:rFonts w:hint="eastAsia" w:ascii="新宋体" w:hAnsi="新宋体" w:eastAsia="新宋体"/>
          <w:b/>
          <w:bCs/>
          <w:sz w:val="32"/>
          <w:szCs w:val="32"/>
          <w:highlight w:val="none"/>
          <w:lang w:eastAsia="zh-CN"/>
        </w:rPr>
        <w:t xml:space="preserve">泰州医药高新技术产业开发区（泰州市高港区）医药产业园管理办公室 </w:t>
      </w:r>
    </w:p>
    <w:p w14:paraId="72B17DEE">
      <w:pPr>
        <w:pStyle w:val="11"/>
        <w:spacing w:line="360" w:lineRule="auto"/>
        <w:rPr>
          <w:rFonts w:hint="eastAsia" w:ascii="新宋体" w:hAnsi="新宋体" w:eastAsia="新宋体"/>
          <w:b/>
          <w:bCs/>
          <w:sz w:val="32"/>
          <w:szCs w:val="32"/>
          <w:highlight w:val="none"/>
        </w:rPr>
      </w:pPr>
    </w:p>
    <w:p w14:paraId="1E3904FB">
      <w:pPr>
        <w:pStyle w:val="11"/>
        <w:spacing w:line="360" w:lineRule="auto"/>
        <w:rPr>
          <w:rFonts w:hint="eastAsia" w:ascii="新宋体" w:hAnsi="新宋体" w:eastAsia="新宋体"/>
          <w:b/>
          <w:bCs/>
          <w:sz w:val="32"/>
          <w:szCs w:val="32"/>
          <w:highlight w:val="none"/>
        </w:rPr>
      </w:pPr>
    </w:p>
    <w:p w14:paraId="44194CA7">
      <w:pPr>
        <w:pStyle w:val="11"/>
        <w:spacing w:line="360" w:lineRule="auto"/>
        <w:rPr>
          <w:rFonts w:hint="eastAsia" w:ascii="新宋体" w:hAnsi="新宋体" w:eastAsia="新宋体"/>
          <w:b/>
          <w:bCs/>
          <w:sz w:val="32"/>
          <w:szCs w:val="32"/>
          <w:highlight w:val="none"/>
        </w:rPr>
      </w:pPr>
    </w:p>
    <w:p w14:paraId="199E7012">
      <w:pPr>
        <w:pStyle w:val="11"/>
        <w:spacing w:line="360" w:lineRule="auto"/>
        <w:rPr>
          <w:rFonts w:hint="eastAsia" w:ascii="新宋体" w:hAnsi="新宋体" w:eastAsia="新宋体"/>
          <w:b/>
          <w:bCs/>
          <w:sz w:val="32"/>
          <w:szCs w:val="32"/>
          <w:highlight w:val="none"/>
        </w:rPr>
      </w:pPr>
    </w:p>
    <w:p w14:paraId="6E3E2E5D">
      <w:pPr>
        <w:spacing w:line="360" w:lineRule="auto"/>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采购代理机构：江苏华强工程投资管理咨询有限公司</w:t>
      </w:r>
    </w:p>
    <w:p w14:paraId="62859F18">
      <w:pPr>
        <w:pStyle w:val="27"/>
        <w:adjustRightInd/>
        <w:ind w:firstLine="643"/>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2025年</w:t>
      </w:r>
      <w:r>
        <w:rPr>
          <w:rFonts w:hint="eastAsia" w:ascii="新宋体" w:hAnsi="新宋体" w:eastAsia="新宋体"/>
          <w:b/>
          <w:bCs/>
          <w:sz w:val="32"/>
          <w:szCs w:val="32"/>
          <w:highlight w:val="none"/>
          <w:lang w:val="en-US" w:eastAsia="zh-CN"/>
        </w:rPr>
        <w:t>10</w:t>
      </w:r>
      <w:r>
        <w:rPr>
          <w:rFonts w:hint="eastAsia" w:ascii="新宋体" w:hAnsi="新宋体" w:eastAsia="新宋体"/>
          <w:b/>
          <w:bCs/>
          <w:sz w:val="32"/>
          <w:szCs w:val="32"/>
          <w:highlight w:val="none"/>
        </w:rPr>
        <w:t>月</w:t>
      </w:r>
    </w:p>
    <w:p w14:paraId="3B35388E">
      <w:pPr>
        <w:pStyle w:val="27"/>
        <w:adjustRightInd/>
        <w:jc w:val="center"/>
        <w:rPr>
          <w:rFonts w:hint="eastAsia" w:ascii="新宋体" w:hAnsi="新宋体" w:eastAsia="新宋体"/>
          <w:b/>
          <w:bCs/>
          <w:highlight w:val="none"/>
        </w:rPr>
        <w:sectPr>
          <w:footerReference r:id="rId5" w:type="first"/>
          <w:headerReference r:id="rId3" w:type="default"/>
          <w:footerReference r:id="rId4" w:type="default"/>
          <w:pgSz w:w="11906" w:h="16838"/>
          <w:pgMar w:top="1701" w:right="1134" w:bottom="1134" w:left="1134" w:header="851" w:footer="992" w:gutter="0"/>
          <w:cols w:space="720" w:num="1"/>
          <w:docGrid w:type="lines" w:linePitch="312" w:charSpace="0"/>
        </w:sectPr>
      </w:pPr>
    </w:p>
    <w:p w14:paraId="03C77B74">
      <w:pPr>
        <w:pStyle w:val="27"/>
        <w:adjustRightInd/>
        <w:jc w:val="center"/>
        <w:rPr>
          <w:rFonts w:hint="eastAsia" w:ascii="新宋体" w:hAnsi="新宋体" w:eastAsia="新宋体"/>
          <w:b/>
          <w:bCs/>
          <w:highlight w:val="none"/>
        </w:rPr>
      </w:pPr>
    </w:p>
    <w:p w14:paraId="16D7B8C8">
      <w:pPr>
        <w:pStyle w:val="27"/>
        <w:adjustRightInd/>
        <w:jc w:val="center"/>
        <w:rPr>
          <w:rFonts w:hint="eastAsia" w:ascii="新宋体" w:hAnsi="新宋体" w:eastAsia="新宋体"/>
          <w:b/>
          <w:bCs/>
          <w:highlight w:val="none"/>
        </w:rPr>
      </w:pPr>
    </w:p>
    <w:p w14:paraId="6CD88780">
      <w:pPr>
        <w:pStyle w:val="28"/>
        <w:spacing w:before="0" w:line="360" w:lineRule="auto"/>
        <w:jc w:val="center"/>
        <w:rPr>
          <w:rFonts w:hint="eastAsia" w:ascii="宋体" w:hAnsi="宋体" w:eastAsia="宋体"/>
          <w:b/>
          <w:color w:val="auto"/>
          <w:sz w:val="40"/>
          <w:highlight w:val="none"/>
          <w:lang w:val="zh-CN"/>
        </w:rPr>
      </w:pPr>
      <w:r>
        <w:rPr>
          <w:rFonts w:ascii="宋体" w:hAnsi="宋体" w:eastAsia="宋体"/>
          <w:b/>
          <w:color w:val="auto"/>
          <w:sz w:val="40"/>
          <w:highlight w:val="none"/>
          <w:lang w:val="zh-CN"/>
        </w:rPr>
        <w:t>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录</w:t>
      </w:r>
    </w:p>
    <w:p w14:paraId="49D33834">
      <w:pPr>
        <w:spacing w:line="360" w:lineRule="auto"/>
        <w:ind w:firstLine="420" w:firstLineChars="200"/>
        <w:rPr>
          <w:highlight w:val="none"/>
          <w:lang w:val="zh-CN"/>
        </w:rPr>
      </w:pPr>
    </w:p>
    <w:p w14:paraId="472002B9">
      <w:pPr>
        <w:pStyle w:val="15"/>
        <w:spacing w:line="360" w:lineRule="auto"/>
        <w:rPr>
          <w:rFonts w:hint="eastAsia" w:ascii="宋体" w:hAnsi="宋体" w:eastAsia="宋体"/>
          <w:caps w:val="0"/>
          <w:sz w:val="21"/>
          <w:szCs w:val="21"/>
          <w:highlight w:val="none"/>
        </w:rPr>
      </w:pPr>
      <w:r>
        <w:rPr>
          <w:rStyle w:val="24"/>
          <w:rFonts w:ascii="宋体" w:hAnsi="宋体"/>
          <w:color w:val="auto"/>
          <w:highlight w:val="none"/>
        </w:rPr>
        <w:fldChar w:fldCharType="begin"/>
      </w:r>
      <w:r>
        <w:rPr>
          <w:rStyle w:val="24"/>
          <w:rFonts w:ascii="宋体" w:hAnsi="宋体"/>
          <w:color w:val="auto"/>
          <w:highlight w:val="none"/>
        </w:rPr>
        <w:instrText xml:space="preserve"> TOC \o "1-1" \h \z \u </w:instrText>
      </w:r>
      <w:r>
        <w:rPr>
          <w:rStyle w:val="24"/>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32155943">
      <w:pPr>
        <w:pStyle w:val="15"/>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7</w:t>
      </w:r>
      <w:r>
        <w:rPr>
          <w:rFonts w:hint="eastAsia" w:ascii="宋体" w:hAnsi="宋体" w:eastAsia="宋体"/>
          <w:caps w:val="0"/>
          <w:sz w:val="21"/>
          <w:szCs w:val="21"/>
          <w:highlight w:val="none"/>
        </w:rPr>
        <w:fldChar w:fldCharType="end"/>
      </w:r>
    </w:p>
    <w:p w14:paraId="780E21F3">
      <w:pPr>
        <w:pStyle w:val="15"/>
        <w:spacing w:line="360" w:lineRule="auto"/>
        <w:rPr>
          <w:rFonts w:hint="eastAsia" w:ascii="宋体" w:hAnsi="宋体" w:eastAsia="宋体"/>
          <w:caps w:val="0"/>
          <w:sz w:val="21"/>
          <w:szCs w:val="21"/>
          <w:highlight w:val="none"/>
          <w:lang w:eastAsia="zh-CN"/>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1</w:t>
      </w:r>
    </w:p>
    <w:p w14:paraId="51395379">
      <w:pPr>
        <w:pStyle w:val="15"/>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25</w:t>
      </w:r>
    </w:p>
    <w:p w14:paraId="1F442DE3">
      <w:pPr>
        <w:pStyle w:val="15"/>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28</w:t>
      </w:r>
    </w:p>
    <w:p w14:paraId="15A12AA5">
      <w:pPr>
        <w:pStyle w:val="15"/>
        <w:spacing w:line="360" w:lineRule="auto"/>
        <w:rPr>
          <w:rStyle w:val="24"/>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4</w:t>
      </w:r>
    </w:p>
    <w:p w14:paraId="62EDB2DD">
      <w:pPr>
        <w:pStyle w:val="15"/>
        <w:spacing w:line="360" w:lineRule="auto"/>
        <w:rPr>
          <w:rStyle w:val="24"/>
          <w:rFonts w:hint="eastAsia" w:ascii="宋体" w:hAnsi="宋体"/>
          <w:color w:val="auto"/>
          <w:highlight w:val="none"/>
        </w:rPr>
      </w:pPr>
      <w:r>
        <w:rPr>
          <w:rStyle w:val="24"/>
          <w:rFonts w:ascii="宋体" w:hAnsi="宋体"/>
          <w:color w:val="auto"/>
          <w:highlight w:val="none"/>
        </w:rPr>
        <w:fldChar w:fldCharType="end"/>
      </w:r>
    </w:p>
    <w:p w14:paraId="53F3A798">
      <w:pPr>
        <w:pStyle w:val="15"/>
        <w:spacing w:line="360" w:lineRule="auto"/>
        <w:rPr>
          <w:rStyle w:val="24"/>
          <w:rFonts w:hint="eastAsia" w:ascii="宋体" w:hAnsi="宋体"/>
          <w:color w:val="auto"/>
          <w:highlight w:val="none"/>
        </w:rPr>
      </w:pPr>
    </w:p>
    <w:p w14:paraId="45714DDB">
      <w:pPr>
        <w:pStyle w:val="15"/>
        <w:spacing w:line="360" w:lineRule="auto"/>
        <w:rPr>
          <w:rStyle w:val="24"/>
          <w:rFonts w:hint="eastAsia" w:ascii="宋体" w:hAnsi="宋体"/>
          <w:color w:val="auto"/>
          <w:highlight w:val="none"/>
        </w:rPr>
      </w:pPr>
    </w:p>
    <w:p w14:paraId="26C4AA05">
      <w:pPr>
        <w:pStyle w:val="27"/>
        <w:adjustRightInd/>
        <w:ind w:firstLine="360"/>
        <w:jc w:val="center"/>
        <w:rPr>
          <w:rStyle w:val="24"/>
          <w:rFonts w:hint="eastAsia" w:ascii="宋体" w:hAnsi="宋体"/>
          <w:caps/>
          <w:color w:val="auto"/>
          <w:kern w:val="2"/>
          <w:sz w:val="18"/>
          <w:szCs w:val="28"/>
          <w:highlight w:val="none"/>
        </w:rPr>
        <w:sectPr>
          <w:pgSz w:w="11906" w:h="16838"/>
          <w:pgMar w:top="1701" w:right="1134" w:bottom="1134" w:left="1134" w:header="851" w:footer="992" w:gutter="0"/>
          <w:cols w:space="720" w:num="1"/>
          <w:docGrid w:type="lines" w:linePitch="312" w:charSpace="0"/>
        </w:sectPr>
      </w:pPr>
    </w:p>
    <w:p w14:paraId="61BB4506">
      <w:pPr>
        <w:pStyle w:val="5"/>
        <w:spacing w:line="360" w:lineRule="auto"/>
        <w:ind w:firstLine="422" w:firstLineChars="200"/>
        <w:jc w:val="center"/>
        <w:rPr>
          <w:rFonts w:hint="eastAsia" w:ascii="宋体" w:hAnsi="宋体" w:eastAsia="宋体"/>
          <w:b/>
          <w:sz w:val="21"/>
          <w:szCs w:val="21"/>
          <w:highlight w:val="none"/>
        </w:rPr>
      </w:pPr>
      <w:bookmarkStart w:id="0" w:name="_Toc86268900"/>
      <w:r>
        <w:rPr>
          <w:rFonts w:hint="eastAsia" w:ascii="宋体" w:hAnsi="宋体" w:eastAsia="宋体"/>
          <w:b/>
          <w:sz w:val="21"/>
          <w:szCs w:val="21"/>
          <w:highlight w:val="none"/>
        </w:rPr>
        <w:t>第一章 竞争性磋商采购公告</w:t>
      </w:r>
      <w:bookmarkEnd w:id="0"/>
    </w:p>
    <w:p w14:paraId="6853F4C2">
      <w:pPr>
        <w:widowControl/>
        <w:spacing w:line="360" w:lineRule="auto"/>
        <w:jc w:val="left"/>
        <w:rPr>
          <w:rFonts w:hint="eastAsia" w:ascii="宋体" w:hAnsi="宋体" w:cs="仿宋_GB2312"/>
          <w:szCs w:val="21"/>
          <w:highlight w:val="none"/>
        </w:rPr>
      </w:pPr>
      <w:bookmarkStart w:id="1" w:name="_Toc35393798"/>
      <w:bookmarkStart w:id="2" w:name="_Toc28359012"/>
      <w:bookmarkStart w:id="3" w:name="_Toc28359089"/>
      <w:bookmarkStart w:id="4" w:name="_Toc35393629"/>
      <w:bookmarkStart w:id="5" w:name="_Toc61149549"/>
      <w:bookmarkStart w:id="6" w:name="_Toc14577347"/>
      <w:bookmarkStart w:id="7" w:name="_Toc513029209"/>
      <w:r>
        <w:rPr>
          <w:rFonts w:hint="eastAsia" w:ascii="宋体" w:hAnsi="宋体" w:cs="仿宋_GB2312"/>
          <w:b/>
          <w:bCs/>
          <w:szCs w:val="21"/>
          <w:highlight w:val="none"/>
        </w:rPr>
        <w:t>项目概况</w:t>
      </w:r>
    </w:p>
    <w:p w14:paraId="77E1A0CC">
      <w:pPr>
        <w:spacing w:line="360" w:lineRule="auto"/>
        <w:ind w:firstLine="420" w:firstLineChars="200"/>
        <w:rPr>
          <w:rFonts w:hint="eastAsia" w:ascii="宋体" w:hAnsi="宋体" w:cs="仿宋_GB2312"/>
          <w:szCs w:val="21"/>
          <w:highlight w:val="none"/>
        </w:rPr>
      </w:pPr>
      <w:r>
        <w:rPr>
          <w:rFonts w:hint="eastAsia" w:ascii="宋体" w:hAnsi="宋体" w:cs="仿宋_GB2312"/>
          <w:szCs w:val="21"/>
          <w:highlight w:val="none"/>
          <w:u w:val="single"/>
          <w:lang w:eastAsia="zh-CN"/>
        </w:rPr>
        <w:t>“中国医药城大健康产业论坛”策划执行服务项目</w:t>
      </w:r>
      <w:r>
        <w:rPr>
          <w:rFonts w:hint="eastAsia" w:ascii="宋体" w:hAnsi="宋体" w:cs="仿宋_GB2312"/>
          <w:szCs w:val="21"/>
          <w:highlight w:val="none"/>
        </w:rPr>
        <w:t>的潜在供应商应在</w:t>
      </w:r>
      <w:r>
        <w:rPr>
          <w:rFonts w:hint="eastAsia" w:ascii="宋体" w:hAnsi="宋体" w:cs="仿宋_GB2312"/>
          <w:b/>
          <w:bCs/>
          <w:szCs w:val="21"/>
          <w:highlight w:val="none"/>
          <w:u w:val="single"/>
        </w:rPr>
        <w:t>江苏政府采购网</w:t>
      </w:r>
      <w:r>
        <w:rPr>
          <w:rFonts w:hint="eastAsia" w:ascii="宋体" w:hAnsi="宋体" w:cs="仿宋_GB2312"/>
          <w:szCs w:val="21"/>
          <w:highlight w:val="none"/>
        </w:rPr>
        <w:t>获取采购文件，并于2025年</w:t>
      </w:r>
      <w:r>
        <w:rPr>
          <w:rFonts w:hint="eastAsia" w:ascii="宋体" w:hAnsi="宋体" w:cs="仿宋_GB2312"/>
          <w:szCs w:val="21"/>
          <w:highlight w:val="none"/>
          <w:lang w:val="en-US" w:eastAsia="zh-CN"/>
        </w:rPr>
        <w:t>10</w:t>
      </w:r>
      <w:r>
        <w:rPr>
          <w:rFonts w:hint="eastAsia" w:ascii="宋体" w:hAnsi="宋体" w:cs="仿宋_GB2312"/>
          <w:szCs w:val="21"/>
          <w:highlight w:val="none"/>
        </w:rPr>
        <w:t>月</w:t>
      </w:r>
      <w:r>
        <w:rPr>
          <w:rFonts w:hint="eastAsia" w:ascii="宋体" w:hAnsi="宋体" w:cs="仿宋_GB2312"/>
          <w:szCs w:val="21"/>
          <w:highlight w:val="none"/>
          <w:lang w:val="en-US" w:eastAsia="zh-CN"/>
        </w:rPr>
        <w:t>27</w:t>
      </w:r>
      <w:r>
        <w:rPr>
          <w:rFonts w:hint="eastAsia" w:ascii="宋体" w:hAnsi="宋体"/>
          <w:szCs w:val="21"/>
          <w:highlight w:val="none"/>
        </w:rPr>
        <w:t>日9</w:t>
      </w:r>
      <w:r>
        <w:rPr>
          <w:rFonts w:hint="eastAsia" w:ascii="宋体" w:hAnsi="宋体" w:cs="仿宋_GB2312"/>
          <w:szCs w:val="21"/>
          <w:highlight w:val="none"/>
        </w:rPr>
        <w:t>点00分（北京时间）前提交响应文件。</w:t>
      </w:r>
    </w:p>
    <w:p w14:paraId="25E2A8A6">
      <w:pPr>
        <w:spacing w:line="360" w:lineRule="auto"/>
        <w:rPr>
          <w:rFonts w:hint="eastAsia" w:ascii="宋体" w:hAnsi="宋体" w:cs="宋体"/>
          <w:b/>
          <w:bCs/>
          <w:szCs w:val="21"/>
          <w:highlight w:val="none"/>
        </w:rPr>
      </w:pPr>
      <w:r>
        <w:rPr>
          <w:rFonts w:hint="eastAsia" w:ascii="宋体" w:hAnsi="宋体" w:cs="宋体"/>
          <w:b/>
          <w:bCs/>
          <w:szCs w:val="21"/>
          <w:highlight w:val="none"/>
        </w:rPr>
        <w:t>一、项目基本情况</w:t>
      </w:r>
      <w:bookmarkEnd w:id="1"/>
      <w:bookmarkEnd w:id="2"/>
      <w:bookmarkEnd w:id="3"/>
      <w:bookmarkEnd w:id="4"/>
    </w:p>
    <w:p w14:paraId="036CA992">
      <w:pPr>
        <w:autoSpaceDE w:val="0"/>
        <w:autoSpaceDN w:val="0"/>
        <w:spacing w:line="360" w:lineRule="auto"/>
        <w:ind w:firstLine="422" w:firstLineChars="200"/>
        <w:rPr>
          <w:rFonts w:hint="eastAsia" w:ascii="宋体" w:hAnsi="宋体" w:eastAsia="宋体" w:cs="宋体"/>
          <w:szCs w:val="21"/>
          <w:highlight w:val="none"/>
          <w:lang w:eastAsia="zh-CN"/>
        </w:rPr>
      </w:pPr>
      <w:bookmarkStart w:id="8" w:name="_Toc28359013"/>
      <w:bookmarkStart w:id="9" w:name="_Toc35393799"/>
      <w:bookmarkStart w:id="10" w:name="_Toc28359090"/>
      <w:bookmarkStart w:id="11" w:name="_Toc35393630"/>
      <w:r>
        <w:rPr>
          <w:rFonts w:hint="eastAsia" w:ascii="宋体" w:hAnsi="宋体" w:cs="宋体"/>
          <w:b/>
          <w:bCs/>
          <w:szCs w:val="21"/>
          <w:highlight w:val="none"/>
        </w:rPr>
        <w:t>项目编号：</w:t>
      </w:r>
      <w:r>
        <w:rPr>
          <w:rFonts w:hint="eastAsia" w:ascii="宋体" w:hAnsi="宋体" w:cs="宋体"/>
          <w:szCs w:val="21"/>
          <w:highlight w:val="none"/>
          <w:lang w:eastAsia="zh-CN"/>
        </w:rPr>
        <w:t>JSZC-321203-HQGC-C2025-0055</w:t>
      </w:r>
    </w:p>
    <w:p w14:paraId="7AB20187">
      <w:pPr>
        <w:autoSpaceDE w:val="0"/>
        <w:autoSpaceDN w:val="0"/>
        <w:spacing w:line="360" w:lineRule="auto"/>
        <w:ind w:firstLine="422" w:firstLineChars="200"/>
        <w:rPr>
          <w:rFonts w:hint="eastAsia" w:ascii="宋体" w:hAnsi="宋体" w:eastAsia="宋体" w:cs="宋体"/>
          <w:szCs w:val="21"/>
          <w:highlight w:val="none"/>
          <w:lang w:eastAsia="zh-CN"/>
        </w:rPr>
      </w:pPr>
      <w:r>
        <w:rPr>
          <w:rFonts w:hint="eastAsia" w:ascii="宋体" w:hAnsi="宋体" w:cs="宋体"/>
          <w:b/>
          <w:bCs/>
          <w:szCs w:val="21"/>
          <w:highlight w:val="none"/>
        </w:rPr>
        <w:t>项目名称：</w:t>
      </w:r>
      <w:r>
        <w:rPr>
          <w:rFonts w:hint="eastAsia" w:ascii="宋体" w:hAnsi="宋体" w:cs="宋体"/>
          <w:szCs w:val="21"/>
          <w:highlight w:val="none"/>
          <w:lang w:eastAsia="zh-CN"/>
        </w:rPr>
        <w:t>“中国医药城大健康产业论坛”策划执行服务项目</w:t>
      </w:r>
    </w:p>
    <w:p w14:paraId="19F1A0CA">
      <w:pPr>
        <w:autoSpaceDE w:val="0"/>
        <w:autoSpaceDN w:val="0"/>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采购方式：</w:t>
      </w:r>
      <w:r>
        <w:rPr>
          <w:rFonts w:hint="eastAsia" w:ascii="宋体" w:hAnsi="宋体" w:cs="宋体"/>
          <w:szCs w:val="21"/>
          <w:highlight w:val="none"/>
        </w:rPr>
        <w:t xml:space="preserve">竞争性磋商 </w:t>
      </w:r>
    </w:p>
    <w:p w14:paraId="65B22BE3">
      <w:pPr>
        <w:autoSpaceDE w:val="0"/>
        <w:autoSpaceDN w:val="0"/>
        <w:spacing w:line="360" w:lineRule="auto"/>
        <w:ind w:firstLine="422" w:firstLineChars="200"/>
        <w:rPr>
          <w:rFonts w:hint="eastAsia" w:ascii="宋体" w:hAnsi="宋体" w:cs="宋体"/>
          <w:szCs w:val="21"/>
          <w:highlight w:val="none"/>
          <w:lang w:eastAsia="zh-CN"/>
        </w:rPr>
      </w:pPr>
      <w:r>
        <w:rPr>
          <w:rFonts w:hint="eastAsia" w:ascii="宋体" w:hAnsi="宋体" w:cs="宋体"/>
          <w:b/>
          <w:bCs/>
          <w:szCs w:val="21"/>
          <w:highlight w:val="none"/>
        </w:rPr>
        <w:t>预算金额：</w:t>
      </w:r>
      <w:r>
        <w:rPr>
          <w:rFonts w:hint="eastAsia" w:ascii="宋体" w:hAnsi="宋体" w:cs="宋体"/>
          <w:szCs w:val="21"/>
          <w:highlight w:val="none"/>
          <w:lang w:val="en-US" w:eastAsia="zh-CN"/>
        </w:rPr>
        <w:t>315</w:t>
      </w:r>
      <w:r>
        <w:rPr>
          <w:rFonts w:hint="eastAsia" w:ascii="宋体" w:hAnsi="宋体" w:cs="宋体"/>
          <w:szCs w:val="21"/>
          <w:highlight w:val="none"/>
          <w:lang w:eastAsia="zh-CN"/>
        </w:rPr>
        <w:t>万元人民币</w:t>
      </w:r>
    </w:p>
    <w:p w14:paraId="7F4AA0BE">
      <w:pPr>
        <w:spacing w:line="360" w:lineRule="auto"/>
        <w:ind w:firstLine="420"/>
        <w:rPr>
          <w:rFonts w:hint="eastAsia" w:ascii="宋体" w:hAnsi="宋体" w:cs="宋体"/>
          <w:szCs w:val="21"/>
          <w:highlight w:val="none"/>
        </w:rPr>
      </w:pPr>
      <w:r>
        <w:rPr>
          <w:rFonts w:hint="eastAsia" w:ascii="宋体" w:hAnsi="宋体" w:cs="宋体"/>
          <w:b/>
          <w:bCs/>
          <w:szCs w:val="21"/>
          <w:highlight w:val="none"/>
        </w:rPr>
        <w:t>最高限价：</w:t>
      </w:r>
      <w:r>
        <w:rPr>
          <w:rFonts w:hint="eastAsia" w:ascii="宋体" w:hAnsi="宋体" w:cs="宋体"/>
          <w:szCs w:val="21"/>
          <w:highlight w:val="none"/>
          <w:lang w:eastAsia="zh-CN"/>
        </w:rPr>
        <w:t>总</w:t>
      </w:r>
      <w:r>
        <w:rPr>
          <w:rFonts w:hint="eastAsia" w:ascii="宋体" w:hAnsi="宋体" w:cs="宋体"/>
          <w:szCs w:val="21"/>
          <w:highlight w:val="none"/>
          <w:lang w:val="en-US" w:eastAsia="zh-CN"/>
        </w:rPr>
        <w:t>价315万元人民币；超过最高限价按无效响应处理。 </w:t>
      </w:r>
    </w:p>
    <w:p w14:paraId="6D058DD6">
      <w:pPr>
        <w:spacing w:line="360" w:lineRule="auto"/>
        <w:ind w:left="210" w:leftChars="100" w:firstLine="211" w:firstLineChars="100"/>
        <w:rPr>
          <w:rFonts w:hint="eastAsia" w:ascii="宋体" w:hAnsi="宋体" w:cs="宋体"/>
          <w:highlight w:val="none"/>
        </w:rPr>
      </w:pPr>
      <w:r>
        <w:rPr>
          <w:rFonts w:hint="eastAsia" w:ascii="宋体" w:hAnsi="宋体" w:cs="宋体"/>
          <w:b/>
          <w:bCs/>
          <w:szCs w:val="21"/>
          <w:highlight w:val="none"/>
        </w:rPr>
        <w:t>采购需求：</w:t>
      </w:r>
      <w:r>
        <w:rPr>
          <w:rFonts w:hint="eastAsia" w:ascii="宋体" w:hAnsi="宋体" w:cs="宋体"/>
          <w:szCs w:val="21"/>
          <w:highlight w:val="none"/>
          <w:lang w:val="en-US" w:eastAsia="zh-CN"/>
        </w:rPr>
        <w:t>准确把握新时代医药行业发展新趋势，紧紧围绕泰州大健康产业特色优势，聚焦医药健康创新成果产业化，拟联合国内外知名行业协会、领军企业、权威机构及专家学者等按照市场化、专业化、国际化、规范化目标，全面深入探讨医药健康产业的政策导向、前沿趋势、技术突破、成果转化与市场机遇等热点议题，推动政、产、学、研、金、服、用等多方力量协同联动，共谋医药健康产业创新与可持续发展路径，构建“政产学研金服用”高效对接平台，拓展合作渠道，促进战略合作，加速科技成果转化与产业升级，持续提升品牌影响力，吸引更多国内外高端医药创新资源向中国医药城集聚将其打造成为具有显著行业影响力和引领性的医药健康产业盛会。根据会议主办方要求，做好大会全程各项活动的具体策划与执行工作，具体内容包括但不限于：包括活动策划、活动推广、会务组织、会务执行、嘉宾邀请和接待保障、会场搭建和服务、宣传报道、物料保障，以及礼仪、速记等相关会议协调保障工作，具体内容见磋商文件第四章 项目需求。</w:t>
      </w:r>
    </w:p>
    <w:p w14:paraId="091F2B7A">
      <w:pPr>
        <w:spacing w:line="360" w:lineRule="auto"/>
        <w:ind w:firstLine="422" w:firstLineChars="200"/>
        <w:outlineLvl w:val="2"/>
        <w:rPr>
          <w:rFonts w:hint="eastAsia" w:ascii="宋体" w:hAnsi="宋体" w:cs="宋体"/>
          <w:color w:val="FF0000"/>
          <w:szCs w:val="21"/>
          <w:highlight w:val="none"/>
        </w:rPr>
      </w:pPr>
      <w:r>
        <w:rPr>
          <w:rFonts w:hint="eastAsia" w:ascii="宋体" w:hAnsi="宋体" w:cs="宋体"/>
          <w:b/>
          <w:bCs/>
          <w:szCs w:val="21"/>
          <w:highlight w:val="none"/>
        </w:rPr>
        <w:t>合同履行期限：</w:t>
      </w:r>
      <w:r>
        <w:rPr>
          <w:rFonts w:hint="eastAsia" w:ascii="宋体" w:hAnsi="宋体" w:eastAsia="宋体" w:cs="宋体"/>
          <w:b/>
          <w:bCs/>
          <w:szCs w:val="21"/>
          <w:highlight w:val="none"/>
        </w:rPr>
        <w:t>202</w:t>
      </w:r>
      <w:r>
        <w:rPr>
          <w:rFonts w:hint="eastAsia" w:ascii="宋体" w:hAnsi="宋体" w:eastAsia="宋体" w:cs="宋体"/>
          <w:b/>
          <w:bCs/>
          <w:szCs w:val="21"/>
          <w:highlight w:val="none"/>
          <w:lang w:val="en-US" w:eastAsia="zh-CN"/>
        </w:rPr>
        <w:t>5</w:t>
      </w:r>
      <w:r>
        <w:rPr>
          <w:rFonts w:hint="eastAsia" w:ascii="宋体" w:hAnsi="宋体" w:eastAsia="宋体" w:cs="宋体"/>
          <w:b/>
          <w:bCs/>
          <w:szCs w:val="21"/>
          <w:highlight w:val="none"/>
        </w:rPr>
        <w:t>年</w:t>
      </w:r>
      <w:r>
        <w:rPr>
          <w:rFonts w:hint="eastAsia" w:ascii="宋体" w:hAnsi="宋体" w:cs="宋体"/>
          <w:b/>
          <w:bCs/>
          <w:szCs w:val="21"/>
          <w:highlight w:val="none"/>
          <w:lang w:eastAsia="zh-CN"/>
        </w:rPr>
        <w:t>11月</w:t>
      </w:r>
      <w:r>
        <w:rPr>
          <w:rFonts w:hint="eastAsia" w:ascii="宋体" w:hAnsi="宋体" w:cs="宋体"/>
          <w:b/>
          <w:bCs/>
          <w:szCs w:val="21"/>
          <w:highlight w:val="none"/>
          <w:lang w:val="en-US" w:eastAsia="zh-CN"/>
        </w:rPr>
        <w:t>28</w:t>
      </w:r>
      <w:r>
        <w:rPr>
          <w:rFonts w:hint="eastAsia" w:ascii="宋体" w:hAnsi="宋体" w:cs="宋体"/>
          <w:b/>
          <w:bCs/>
          <w:szCs w:val="21"/>
          <w:highlight w:val="none"/>
          <w:lang w:eastAsia="zh-CN"/>
        </w:rPr>
        <w:t>日—</w:t>
      </w:r>
      <w:r>
        <w:rPr>
          <w:rFonts w:hint="eastAsia" w:ascii="宋体" w:hAnsi="宋体" w:cs="宋体"/>
          <w:b/>
          <w:bCs/>
          <w:szCs w:val="21"/>
          <w:highlight w:val="none"/>
          <w:lang w:val="en-US" w:eastAsia="zh-CN"/>
        </w:rPr>
        <w:t>30</w:t>
      </w:r>
      <w:r>
        <w:rPr>
          <w:rFonts w:hint="eastAsia" w:ascii="宋体" w:hAnsi="宋体" w:eastAsia="宋体" w:cs="宋体"/>
          <w:b/>
          <w:bCs/>
          <w:szCs w:val="21"/>
          <w:highlight w:val="none"/>
          <w:lang w:val="en-US" w:eastAsia="zh-CN"/>
        </w:rPr>
        <w:t>日</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rPr>
        <w:t>若</w:t>
      </w:r>
      <w:r>
        <w:rPr>
          <w:rFonts w:hint="eastAsia" w:ascii="宋体" w:hAnsi="宋体" w:eastAsia="宋体" w:cs="宋体"/>
          <w:b/>
          <w:bCs/>
          <w:szCs w:val="21"/>
          <w:highlight w:val="none"/>
          <w:lang w:val="en-US" w:eastAsia="zh-CN"/>
        </w:rPr>
        <w:t>采购人</w:t>
      </w:r>
      <w:r>
        <w:rPr>
          <w:rFonts w:hint="eastAsia" w:ascii="宋体" w:hAnsi="宋体" w:eastAsia="宋体" w:cs="宋体"/>
          <w:b/>
          <w:bCs/>
          <w:szCs w:val="21"/>
          <w:highlight w:val="none"/>
        </w:rPr>
        <w:t>另有要求，按照</w:t>
      </w:r>
      <w:r>
        <w:rPr>
          <w:rFonts w:hint="eastAsia" w:ascii="宋体" w:hAnsi="宋体" w:eastAsia="宋体" w:cs="宋体"/>
          <w:b/>
          <w:bCs/>
          <w:szCs w:val="21"/>
          <w:highlight w:val="none"/>
          <w:lang w:val="en-US" w:eastAsia="zh-CN"/>
        </w:rPr>
        <w:t>采购人</w:t>
      </w:r>
      <w:r>
        <w:rPr>
          <w:rFonts w:hint="eastAsia" w:ascii="宋体" w:hAnsi="宋体" w:eastAsia="宋体" w:cs="宋体"/>
          <w:b/>
          <w:bCs/>
          <w:szCs w:val="21"/>
          <w:highlight w:val="none"/>
        </w:rPr>
        <w:t>要求执行。</w:t>
      </w:r>
    </w:p>
    <w:p w14:paraId="0BD3ADFB">
      <w:pPr>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本项目是否接受联合体投标：否。</w:t>
      </w:r>
    </w:p>
    <w:p w14:paraId="52C634AC">
      <w:pPr>
        <w:autoSpaceDE w:val="0"/>
        <w:autoSpaceDN w:val="0"/>
        <w:spacing w:line="360" w:lineRule="auto"/>
        <w:rPr>
          <w:rFonts w:hint="eastAsia" w:ascii="宋体" w:hAnsi="宋体" w:cs="宋体"/>
          <w:b/>
          <w:bCs/>
          <w:szCs w:val="21"/>
          <w:highlight w:val="none"/>
        </w:rPr>
      </w:pPr>
      <w:r>
        <w:rPr>
          <w:rFonts w:hint="eastAsia" w:ascii="宋体" w:hAnsi="宋体" w:cs="宋体"/>
          <w:b/>
          <w:bCs/>
          <w:szCs w:val="21"/>
          <w:highlight w:val="none"/>
        </w:rPr>
        <w:t>二、申请人的资格要求：</w:t>
      </w:r>
      <w:bookmarkEnd w:id="8"/>
      <w:bookmarkEnd w:id="9"/>
      <w:bookmarkEnd w:id="10"/>
      <w:bookmarkEnd w:id="11"/>
    </w:p>
    <w:p w14:paraId="18DF970F">
      <w:pPr>
        <w:spacing w:line="360" w:lineRule="auto"/>
        <w:ind w:firstLine="420" w:firstLineChars="200"/>
        <w:rPr>
          <w:rFonts w:hint="eastAsia" w:ascii="宋体" w:hAnsi="宋体" w:cs="宋体"/>
          <w:highlight w:val="none"/>
        </w:rPr>
      </w:pPr>
      <w:bookmarkStart w:id="12" w:name="_Toc28359014"/>
      <w:bookmarkStart w:id="13" w:name="_Toc28359091"/>
      <w:bookmarkStart w:id="14" w:name="_Toc35393631"/>
      <w:bookmarkStart w:id="15" w:name="_Toc35393800"/>
      <w:r>
        <w:rPr>
          <w:rFonts w:hint="eastAsia" w:ascii="宋体" w:hAnsi="宋体" w:cs="宋体"/>
          <w:highlight w:val="none"/>
        </w:rPr>
        <w:t>1.满足《中华人民共和国政府采购法》第二十二条的规定：</w:t>
      </w:r>
    </w:p>
    <w:p w14:paraId="54B2D57E">
      <w:pPr>
        <w:spacing w:line="360" w:lineRule="auto"/>
        <w:ind w:firstLine="420"/>
        <w:rPr>
          <w:rFonts w:hint="eastAsia" w:ascii="宋体" w:hAnsi="宋体" w:cs="宋体"/>
          <w:highlight w:val="none"/>
        </w:rPr>
      </w:pPr>
      <w:r>
        <w:rPr>
          <w:rFonts w:hint="eastAsia" w:ascii="宋体" w:hAnsi="宋体" w:cs="宋体"/>
          <w:highlight w:val="none"/>
        </w:rPr>
        <w:t>1.1</w:t>
      </w:r>
      <w:r>
        <w:rPr>
          <w:rFonts w:ascii="宋体" w:hAnsi="宋体" w:cs="宋体"/>
          <w:highlight w:val="none"/>
        </w:rPr>
        <w:t>具有独立承担民事责任的能力；</w:t>
      </w:r>
    </w:p>
    <w:p w14:paraId="6BB521B5">
      <w:pPr>
        <w:spacing w:line="360" w:lineRule="auto"/>
        <w:ind w:firstLine="420"/>
        <w:rPr>
          <w:rFonts w:hint="eastAsia" w:ascii="宋体" w:hAnsi="宋体" w:cs="宋体"/>
          <w:highlight w:val="none"/>
        </w:rPr>
      </w:pPr>
      <w:r>
        <w:rPr>
          <w:rFonts w:hint="eastAsia" w:ascii="宋体" w:hAnsi="宋体" w:cs="宋体"/>
          <w:highlight w:val="none"/>
        </w:rPr>
        <w:t>1.2</w:t>
      </w:r>
      <w:r>
        <w:rPr>
          <w:rFonts w:ascii="宋体" w:hAnsi="宋体" w:cs="宋体"/>
          <w:highlight w:val="none"/>
        </w:rPr>
        <w:t>具有良好的商业信誉和健全的财务会计制度；</w:t>
      </w:r>
    </w:p>
    <w:p w14:paraId="1EDAFBEA">
      <w:pPr>
        <w:spacing w:line="360" w:lineRule="auto"/>
        <w:ind w:firstLine="420"/>
        <w:rPr>
          <w:rFonts w:hint="eastAsia" w:ascii="宋体" w:hAnsi="宋体" w:cs="宋体"/>
          <w:highlight w:val="none"/>
        </w:rPr>
      </w:pPr>
      <w:r>
        <w:rPr>
          <w:rFonts w:hint="eastAsia" w:ascii="宋体" w:hAnsi="宋体" w:cs="宋体"/>
          <w:highlight w:val="none"/>
        </w:rPr>
        <w:t>1.3具</w:t>
      </w:r>
      <w:r>
        <w:rPr>
          <w:rFonts w:ascii="宋体" w:hAnsi="宋体" w:cs="宋体"/>
          <w:highlight w:val="none"/>
        </w:rPr>
        <w:t>有依法缴纳税收和社会保障资金的良好记录；</w:t>
      </w:r>
    </w:p>
    <w:p w14:paraId="51FF0DDC">
      <w:pPr>
        <w:spacing w:line="360" w:lineRule="auto"/>
        <w:ind w:firstLine="420"/>
        <w:rPr>
          <w:rFonts w:hint="eastAsia" w:ascii="宋体" w:hAnsi="宋体" w:cs="宋体"/>
          <w:highlight w:val="none"/>
        </w:rPr>
      </w:pPr>
      <w:r>
        <w:rPr>
          <w:rFonts w:hint="eastAsia" w:ascii="宋体" w:hAnsi="宋体" w:cs="宋体"/>
          <w:highlight w:val="none"/>
        </w:rPr>
        <w:t>1.4</w:t>
      </w:r>
      <w:r>
        <w:rPr>
          <w:rFonts w:ascii="宋体" w:hAnsi="宋体" w:cs="宋体"/>
          <w:highlight w:val="none"/>
        </w:rPr>
        <w:t>具</w:t>
      </w:r>
      <w:r>
        <w:rPr>
          <w:rFonts w:hint="eastAsia" w:ascii="宋体" w:hAnsi="宋体" w:cs="宋体"/>
          <w:highlight w:val="none"/>
        </w:rPr>
        <w:t>备</w:t>
      </w:r>
      <w:r>
        <w:rPr>
          <w:rFonts w:ascii="宋体" w:hAnsi="宋体" w:cs="宋体"/>
          <w:highlight w:val="none"/>
        </w:rPr>
        <w:t>履行合同</w:t>
      </w:r>
      <w:r>
        <w:rPr>
          <w:rFonts w:hint="eastAsia" w:ascii="宋体" w:hAnsi="宋体" w:cs="宋体"/>
          <w:highlight w:val="none"/>
        </w:rPr>
        <w:t>所必需的</w:t>
      </w:r>
      <w:r>
        <w:rPr>
          <w:rFonts w:ascii="宋体" w:hAnsi="宋体" w:cs="宋体"/>
          <w:highlight w:val="none"/>
        </w:rPr>
        <w:t>设备和专业技术能力；</w:t>
      </w:r>
    </w:p>
    <w:p w14:paraId="40C38032">
      <w:pPr>
        <w:spacing w:line="360" w:lineRule="auto"/>
        <w:ind w:firstLine="420"/>
        <w:rPr>
          <w:rFonts w:hint="eastAsia" w:ascii="宋体" w:hAnsi="宋体" w:cs="宋体"/>
          <w:highlight w:val="none"/>
        </w:rPr>
      </w:pPr>
      <w:r>
        <w:rPr>
          <w:rFonts w:hint="eastAsia" w:ascii="宋体" w:hAnsi="宋体" w:cs="宋体"/>
          <w:highlight w:val="none"/>
        </w:rPr>
        <w:t>1.5</w:t>
      </w:r>
      <w:r>
        <w:rPr>
          <w:rFonts w:ascii="宋体" w:hAnsi="宋体" w:cs="宋体"/>
          <w:highlight w:val="none"/>
        </w:rPr>
        <w:t>参加政府采购活动前三年内，在经营活动中没有重大违法记录；</w:t>
      </w:r>
    </w:p>
    <w:p w14:paraId="2719DEC0">
      <w:pPr>
        <w:spacing w:line="360" w:lineRule="auto"/>
        <w:ind w:firstLine="420"/>
        <w:rPr>
          <w:rFonts w:hint="eastAsia" w:ascii="宋体" w:hAnsi="宋体" w:cs="宋体"/>
          <w:highlight w:val="none"/>
        </w:rPr>
      </w:pPr>
      <w:r>
        <w:rPr>
          <w:rFonts w:hint="eastAsia" w:ascii="宋体" w:hAnsi="宋体" w:cs="宋体"/>
          <w:highlight w:val="none"/>
        </w:rPr>
        <w:t>1.6</w:t>
      </w:r>
      <w:r>
        <w:rPr>
          <w:rFonts w:ascii="宋体" w:hAnsi="宋体" w:cs="宋体"/>
          <w:highlight w:val="none"/>
        </w:rPr>
        <w:t>法律、行政法规规定的其他条件。</w:t>
      </w:r>
    </w:p>
    <w:p w14:paraId="791C1A02">
      <w:pPr>
        <w:spacing w:line="360" w:lineRule="auto"/>
        <w:ind w:firstLine="420" w:firstLineChars="200"/>
        <w:rPr>
          <w:rFonts w:ascii="宋体" w:hAnsi="宋体" w:cs="宋体"/>
          <w:b/>
          <w:bCs/>
          <w:szCs w:val="21"/>
          <w:highlight w:val="none"/>
        </w:rPr>
      </w:pPr>
      <w:r>
        <w:rPr>
          <w:rFonts w:hint="eastAsia" w:ascii="宋体" w:hAnsi="宋体" w:cs="宋体"/>
          <w:highlight w:val="none"/>
        </w:rPr>
        <w:t>2.落实政府采购政策需满足的资格要求：</w:t>
      </w:r>
      <w:r>
        <w:rPr>
          <w:rFonts w:hint="eastAsia" w:ascii="宋体" w:hAnsi="宋体" w:eastAsia="宋体" w:cs="宋体"/>
          <w:b/>
          <w:bCs/>
          <w:color w:val="auto"/>
          <w:sz w:val="21"/>
          <w:szCs w:val="21"/>
          <w:highlight w:val="none"/>
        </w:rPr>
        <w:t>本项目属于租赁和商务服务业，专门面向中小微企业、监狱企业、残疾人福利性单位</w:t>
      </w: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响应文件</w:t>
      </w:r>
      <w:r>
        <w:rPr>
          <w:rFonts w:hint="eastAsia" w:ascii="宋体" w:hAnsi="宋体" w:eastAsia="宋体" w:cs="宋体"/>
          <w:b/>
          <w:bCs/>
          <w:color w:val="auto"/>
          <w:sz w:val="21"/>
          <w:szCs w:val="21"/>
          <w:highlight w:val="none"/>
          <w:lang w:val="en-US" w:eastAsia="zh-CN"/>
        </w:rPr>
        <w:t>中提供</w:t>
      </w:r>
      <w:r>
        <w:rPr>
          <w:rFonts w:hint="eastAsia" w:ascii="宋体" w:hAnsi="宋体" w:eastAsia="宋体" w:cs="宋体"/>
          <w:b/>
          <w:bCs/>
          <w:color w:val="auto"/>
          <w:sz w:val="21"/>
          <w:szCs w:val="21"/>
          <w:highlight w:val="none"/>
        </w:rPr>
        <w:t>《中小企业声明函》。</w:t>
      </w:r>
    </w:p>
    <w:p w14:paraId="5E1EC787">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备注：本项目专门面向中小企业，不享受价格扣除优惠政策。</w:t>
      </w:r>
    </w:p>
    <w:p w14:paraId="241E2B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rPr>
        <w:t>3.本项目的特定资格要求：</w:t>
      </w:r>
      <w:r>
        <w:rPr>
          <w:rFonts w:hint="eastAsia" w:ascii="宋体" w:hAnsi="宋体" w:cs="宋体"/>
          <w:bCs/>
          <w:szCs w:val="21"/>
          <w:highlight w:val="none"/>
          <w:lang w:val="en-US" w:eastAsia="zh-CN"/>
        </w:rPr>
        <w:t>无。</w:t>
      </w:r>
    </w:p>
    <w:p w14:paraId="08166DDF">
      <w:pPr>
        <w:tabs>
          <w:tab w:val="left" w:pos="900"/>
        </w:tabs>
        <w:spacing w:line="360" w:lineRule="auto"/>
        <w:ind w:left="420" w:leftChars="200"/>
        <w:rPr>
          <w:rFonts w:hint="eastAsia" w:ascii="宋体" w:hAnsi="宋体" w:cs="宋体"/>
          <w:bCs/>
          <w:szCs w:val="21"/>
          <w:highlight w:val="none"/>
        </w:rPr>
      </w:pPr>
      <w:r>
        <w:rPr>
          <w:rFonts w:hint="eastAsia" w:ascii="宋体" w:hAnsi="宋体" w:cs="宋体"/>
          <w:bCs/>
          <w:szCs w:val="21"/>
          <w:highlight w:val="none"/>
        </w:rPr>
        <w:t>4.拒绝下述供应商参加本次采购活动：</w:t>
      </w:r>
    </w:p>
    <w:p w14:paraId="5F81C5B9">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4.1供应商单位负责人为同一人或者存在直接控股、管理关系的不同供应商，不得参加同一合同项下的政府采购活动。</w:t>
      </w:r>
    </w:p>
    <w:p w14:paraId="108B2F83">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4.2凡为本采购项目提供整体设计、规范编制或者项目管理、监理、检测等服务的供应商，不得再参加本采购项目的其他采购活动；</w:t>
      </w:r>
    </w:p>
    <w:p w14:paraId="46AA7E3F">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4.3供应商被“信用中国”网站（www.creditchina.gov.cn）、“中国政府采购网”（www.ccgp.gov.cn）列入严重失信主体名单、政府采购严重违法失信行为记录名单。</w:t>
      </w:r>
    </w:p>
    <w:p w14:paraId="15B9FF92">
      <w:pPr>
        <w:spacing w:line="360" w:lineRule="auto"/>
        <w:rPr>
          <w:rFonts w:hint="eastAsia" w:ascii="宋体" w:hAnsi="宋体" w:cs="宋体"/>
          <w:b/>
          <w:bCs/>
          <w:szCs w:val="21"/>
          <w:highlight w:val="none"/>
        </w:rPr>
      </w:pPr>
      <w:r>
        <w:rPr>
          <w:rFonts w:hint="eastAsia" w:ascii="宋体" w:hAnsi="宋体" w:cs="宋体"/>
          <w:b/>
          <w:bCs/>
          <w:szCs w:val="21"/>
          <w:highlight w:val="none"/>
        </w:rPr>
        <w:t>三、获取采购文件</w:t>
      </w:r>
      <w:bookmarkEnd w:id="12"/>
      <w:bookmarkEnd w:id="13"/>
      <w:bookmarkEnd w:id="14"/>
      <w:bookmarkEnd w:id="15"/>
    </w:p>
    <w:p w14:paraId="1B8E3EDC">
      <w:pPr>
        <w:tabs>
          <w:tab w:val="left" w:pos="900"/>
        </w:tabs>
        <w:spacing w:line="360" w:lineRule="auto"/>
        <w:ind w:firstLine="420" w:firstLineChars="200"/>
        <w:rPr>
          <w:rFonts w:hint="eastAsia" w:ascii="宋体" w:hAnsi="宋体" w:cs="宋体"/>
          <w:bCs/>
          <w:szCs w:val="21"/>
          <w:highlight w:val="none"/>
        </w:rPr>
      </w:pPr>
      <w:bookmarkStart w:id="16" w:name="_Toc35393632"/>
      <w:bookmarkStart w:id="17" w:name="_Toc28359015"/>
      <w:bookmarkStart w:id="18" w:name="_Toc35393801"/>
      <w:bookmarkStart w:id="19" w:name="_Toc28359092"/>
      <w:r>
        <w:rPr>
          <w:rFonts w:hint="eastAsia" w:ascii="宋体" w:hAnsi="宋体" w:cs="宋体"/>
          <w:bCs/>
          <w:szCs w:val="21"/>
          <w:highlight w:val="none"/>
        </w:rPr>
        <w:t>1.获取时间：自公告发布之日起5个工作日。</w:t>
      </w:r>
    </w:p>
    <w:p w14:paraId="3B0E47F4">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2.地点：网上注册登记成功后可在系统内免费下载。</w:t>
      </w:r>
    </w:p>
    <w:p w14:paraId="2DEB20CD">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3.获取方式：本项目采用网上注册登记方式。</w:t>
      </w:r>
    </w:p>
    <w:p w14:paraId="3056250D">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3.1潜在供应商访问电子招标响应交易平台的网络地址和方法：</w:t>
      </w:r>
    </w:p>
    <w:p w14:paraId="73D82F9F">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7A7E70A">
      <w:pPr>
        <w:tabs>
          <w:tab w:val="left" w:pos="900"/>
        </w:tabs>
        <w:spacing w:line="360" w:lineRule="auto"/>
        <w:ind w:firstLine="420" w:firstLineChars="200"/>
        <w:rPr>
          <w:rFonts w:hint="eastAsia" w:ascii="宋体" w:hAnsi="宋体" w:cs="宋体"/>
          <w:bCs/>
          <w:szCs w:val="21"/>
          <w:highlight w:val="none"/>
          <w:lang w:eastAsia="en-US"/>
        </w:rPr>
      </w:pPr>
      <w:r>
        <w:rPr>
          <w:rFonts w:hint="eastAsia" w:ascii="宋体" w:hAnsi="宋体" w:cs="宋体"/>
          <w:bCs/>
          <w:szCs w:val="21"/>
          <w:highlight w:val="none"/>
          <w:lang w:eastAsia="en-US"/>
        </w:rPr>
        <w:t>3.2潜在供应商访问“苏采云”系统的网络地址和方法</w:t>
      </w:r>
      <w:r>
        <w:rPr>
          <w:rFonts w:hint="eastAsia" w:ascii="宋体" w:hAnsi="宋体" w:cs="宋体"/>
          <w:bCs/>
          <w:szCs w:val="21"/>
          <w:highlight w:val="none"/>
        </w:rPr>
        <w:t>：</w:t>
      </w:r>
      <w:r>
        <w:rPr>
          <w:rFonts w:hint="eastAsia" w:ascii="宋体" w:hAnsi="宋体" w:cs="宋体"/>
          <w:bCs/>
          <w:szCs w:val="21"/>
          <w:highlight w:val="none"/>
          <w:lang w:eastAsia="en-US"/>
        </w:rPr>
        <w:t>“苏采云”系统的网址：http://jszfcg.jsczt.cn/。</w:t>
      </w:r>
    </w:p>
    <w:p w14:paraId="0F574347">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3.3“CA数字证书”的获取：</w:t>
      </w:r>
    </w:p>
    <w:p w14:paraId="21BCA9B3">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5DC706A0">
      <w:pPr>
        <w:tabs>
          <w:tab w:val="left" w:pos="900"/>
        </w:tabs>
        <w:spacing w:line="360" w:lineRule="auto"/>
        <w:ind w:firstLine="420" w:firstLineChars="200"/>
        <w:rPr>
          <w:rFonts w:hint="eastAsia" w:ascii="宋体" w:hAnsi="宋体" w:cs="宋体"/>
          <w:bCs/>
          <w:szCs w:val="21"/>
          <w:highlight w:val="none"/>
          <w:lang w:eastAsia="en-US"/>
        </w:rPr>
      </w:pPr>
      <w:r>
        <w:rPr>
          <w:rFonts w:hint="eastAsia" w:ascii="宋体" w:hAnsi="宋体" w:cs="宋体"/>
          <w:bCs/>
          <w:szCs w:val="21"/>
          <w:highlight w:val="none"/>
          <w:lang w:eastAsia="en-US"/>
        </w:rPr>
        <w:t>通过苏采云系统首页（http://jszfcg.jscz.gov.cn/）的“苏采云控件驱动下载”，选择“政务CA、方正签章控件驱动安装包及安装说明”下载安装，具体安装方法详见下载文件内的《安装说明》。</w:t>
      </w:r>
    </w:p>
    <w:p w14:paraId="375616B8">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3.4采购文件（后缀名为“.kedt”）、供应商操作手册及政府采购客户端工具可通过“苏采云”系统－－已报名项目－－报名详情页面内相应链接进行下载。</w:t>
      </w:r>
    </w:p>
    <w:p w14:paraId="7CB26E93">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3.5采购人或采购代理机构将数据电文形式的采购文件加载至“苏采云”系统，供潜在供应商下载或者查阅。</w:t>
      </w:r>
    </w:p>
    <w:p w14:paraId="64490685">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3.6请潜在供应商提前安装相应的控件（详见《江苏省政府采购管理交易系统（苏采云）供应商操作手册》）并使用谷歌浏览器登录“苏采云”系统参与不见面开评标。</w:t>
      </w:r>
    </w:p>
    <w:p w14:paraId="608C05BD">
      <w:pPr>
        <w:tabs>
          <w:tab w:val="left" w:pos="900"/>
        </w:tabs>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3.7开评标全过程中，磋商供应商一端参与交互的人员将均被视为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76C5134D">
      <w:pPr>
        <w:tabs>
          <w:tab w:val="left" w:pos="900"/>
        </w:tabs>
        <w:spacing w:line="360" w:lineRule="auto"/>
        <w:ind w:firstLine="422" w:firstLineChars="200"/>
        <w:rPr>
          <w:rFonts w:hint="eastAsia" w:ascii="宋体" w:hAnsi="宋体" w:cs="宋体"/>
          <w:bCs/>
          <w:szCs w:val="21"/>
          <w:highlight w:val="none"/>
        </w:rPr>
      </w:pPr>
      <w:r>
        <w:rPr>
          <w:rFonts w:hint="eastAsia" w:ascii="宋体" w:hAnsi="宋体" w:cs="宋体"/>
          <w:b/>
          <w:szCs w:val="21"/>
          <w:highlight w:val="none"/>
        </w:rPr>
        <w:t>注：如潜在供应商未按上述要求操作，将自行承担所产生的风险。</w:t>
      </w:r>
    </w:p>
    <w:p w14:paraId="0182638B">
      <w:pPr>
        <w:spacing w:line="360" w:lineRule="auto"/>
        <w:rPr>
          <w:rFonts w:hint="eastAsia" w:ascii="宋体" w:hAnsi="宋体" w:cs="宋体"/>
          <w:b/>
          <w:bCs/>
          <w:szCs w:val="21"/>
          <w:highlight w:val="none"/>
        </w:rPr>
      </w:pPr>
      <w:r>
        <w:rPr>
          <w:rFonts w:hint="eastAsia" w:ascii="宋体" w:hAnsi="宋体" w:cs="宋体"/>
          <w:b/>
          <w:bCs/>
          <w:szCs w:val="21"/>
          <w:highlight w:val="none"/>
        </w:rPr>
        <w:t>四、响应文件提交</w:t>
      </w:r>
      <w:bookmarkEnd w:id="16"/>
      <w:bookmarkEnd w:id="17"/>
      <w:bookmarkEnd w:id="18"/>
      <w:bookmarkEnd w:id="19"/>
    </w:p>
    <w:p w14:paraId="023174A3">
      <w:pPr>
        <w:spacing w:line="360" w:lineRule="auto"/>
        <w:ind w:firstLine="420" w:firstLineChars="200"/>
        <w:rPr>
          <w:rFonts w:hint="eastAsia" w:ascii="宋体" w:hAnsi="宋体" w:cs="宋体"/>
          <w:szCs w:val="21"/>
          <w:highlight w:val="none"/>
        </w:rPr>
      </w:pPr>
      <w:bookmarkStart w:id="20" w:name="_Toc28359016"/>
      <w:bookmarkStart w:id="21" w:name="_Toc35393802"/>
      <w:bookmarkStart w:id="22" w:name="_Toc28359093"/>
      <w:bookmarkStart w:id="23" w:name="_Toc35393633"/>
      <w:r>
        <w:rPr>
          <w:rFonts w:hint="eastAsia" w:ascii="宋体" w:hAnsi="宋体" w:cs="宋体"/>
          <w:szCs w:val="21"/>
          <w:highlight w:val="none"/>
        </w:rPr>
        <w:t>1.响应文件提交截止时间：2025年</w:t>
      </w:r>
      <w:r>
        <w:rPr>
          <w:rFonts w:hint="eastAsia" w:ascii="宋体" w:hAnsi="宋体" w:cs="宋体"/>
          <w:szCs w:val="21"/>
          <w:highlight w:val="none"/>
          <w:lang w:val="en-US" w:eastAsia="zh-CN"/>
        </w:rPr>
        <w:t>10</w:t>
      </w:r>
      <w:r>
        <w:rPr>
          <w:rFonts w:hint="eastAsia" w:ascii="宋体" w:hAnsi="宋体" w:cs="宋体"/>
          <w:szCs w:val="21"/>
          <w:highlight w:val="none"/>
        </w:rPr>
        <w:t>月</w:t>
      </w:r>
      <w:r>
        <w:rPr>
          <w:rFonts w:hint="eastAsia" w:ascii="宋体" w:hAnsi="宋体" w:cs="宋体"/>
          <w:szCs w:val="21"/>
          <w:highlight w:val="none"/>
          <w:lang w:val="en-US" w:eastAsia="zh-CN"/>
        </w:rPr>
        <w:t>27</w:t>
      </w:r>
      <w:r>
        <w:rPr>
          <w:rFonts w:hint="eastAsia" w:ascii="宋体" w:hAnsi="宋体" w:cs="宋体"/>
          <w:szCs w:val="21"/>
          <w:highlight w:val="none"/>
        </w:rPr>
        <w:t>日09时00分（北京时间）。逾期，“苏采云”系统将拒绝接收上传响应文件电子文档。</w:t>
      </w:r>
    </w:p>
    <w:p w14:paraId="3E5439F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eastAsia="en-US"/>
        </w:rPr>
        <w:t>地点：“苏采云”系统（网址：http://jszfcg.jsczt.cn/）</w:t>
      </w:r>
    </w:p>
    <w:p w14:paraId="404109F7">
      <w:pPr>
        <w:spacing w:line="360" w:lineRule="auto"/>
        <w:rPr>
          <w:rFonts w:hint="eastAsia" w:ascii="宋体" w:hAnsi="宋体" w:cs="宋体"/>
          <w:b/>
          <w:bCs/>
          <w:szCs w:val="21"/>
          <w:highlight w:val="none"/>
        </w:rPr>
      </w:pPr>
      <w:r>
        <w:rPr>
          <w:rFonts w:hint="eastAsia" w:ascii="宋体" w:hAnsi="宋体" w:cs="宋体"/>
          <w:b/>
          <w:bCs/>
          <w:szCs w:val="21"/>
          <w:highlight w:val="none"/>
        </w:rPr>
        <w:t>五、开启（</w:t>
      </w:r>
      <w:r>
        <w:rPr>
          <w:rFonts w:hint="eastAsia" w:ascii="宋体" w:hAnsi="宋体" w:cs="宋体"/>
          <w:b/>
          <w:bCs/>
          <w:i/>
          <w:szCs w:val="21"/>
          <w:highlight w:val="none"/>
        </w:rPr>
        <w:t>竞争性磋商方式必须填写</w:t>
      </w:r>
      <w:r>
        <w:rPr>
          <w:rFonts w:hint="eastAsia" w:ascii="宋体" w:hAnsi="宋体" w:cs="宋体"/>
          <w:b/>
          <w:bCs/>
          <w:szCs w:val="21"/>
          <w:highlight w:val="none"/>
        </w:rPr>
        <w:t>）</w:t>
      </w:r>
      <w:bookmarkEnd w:id="20"/>
      <w:bookmarkEnd w:id="21"/>
      <w:bookmarkEnd w:id="22"/>
      <w:bookmarkEnd w:id="23"/>
    </w:p>
    <w:p w14:paraId="1A2827AB">
      <w:pPr>
        <w:spacing w:line="360" w:lineRule="auto"/>
        <w:ind w:firstLine="420" w:firstLineChars="200"/>
        <w:rPr>
          <w:rFonts w:hint="eastAsia" w:ascii="宋体" w:hAnsi="宋体" w:cs="宋体"/>
          <w:szCs w:val="21"/>
          <w:highlight w:val="none"/>
        </w:rPr>
      </w:pPr>
      <w:bookmarkStart w:id="24" w:name="_Toc28359094"/>
      <w:bookmarkStart w:id="25" w:name="_Toc28359017"/>
      <w:bookmarkStart w:id="26" w:name="_Toc35393803"/>
      <w:bookmarkStart w:id="27" w:name="_Toc35393634"/>
      <w:r>
        <w:rPr>
          <w:rFonts w:hint="eastAsia" w:ascii="宋体" w:hAnsi="宋体" w:cs="宋体"/>
          <w:szCs w:val="21"/>
          <w:highlight w:val="none"/>
        </w:rPr>
        <w:t>1.时间：2025年</w:t>
      </w:r>
      <w:r>
        <w:rPr>
          <w:rFonts w:hint="eastAsia" w:ascii="宋体" w:hAnsi="宋体" w:cs="宋体"/>
          <w:szCs w:val="21"/>
          <w:highlight w:val="none"/>
          <w:lang w:val="en-US" w:eastAsia="zh-CN"/>
        </w:rPr>
        <w:t>10</w:t>
      </w:r>
      <w:r>
        <w:rPr>
          <w:rFonts w:hint="eastAsia" w:ascii="宋体" w:hAnsi="宋体" w:cs="宋体"/>
          <w:szCs w:val="21"/>
          <w:highlight w:val="none"/>
        </w:rPr>
        <w:t>月</w:t>
      </w:r>
      <w:r>
        <w:rPr>
          <w:rFonts w:hint="eastAsia" w:ascii="宋体" w:hAnsi="宋体" w:cs="宋体"/>
          <w:szCs w:val="21"/>
          <w:highlight w:val="none"/>
          <w:lang w:val="en-US" w:eastAsia="zh-CN"/>
        </w:rPr>
        <w:t>27</w:t>
      </w:r>
      <w:r>
        <w:rPr>
          <w:rFonts w:hint="eastAsia" w:ascii="宋体" w:hAnsi="宋体" w:cs="宋体"/>
          <w:szCs w:val="21"/>
          <w:highlight w:val="none"/>
        </w:rPr>
        <w:t>日09时00分（北京时间）。</w:t>
      </w:r>
    </w:p>
    <w:p w14:paraId="118683E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2.地点：</w:t>
      </w:r>
      <w:r>
        <w:rPr>
          <w:rFonts w:hint="eastAsia" w:ascii="宋体" w:hAnsi="宋体" w:cs="宋体"/>
          <w:szCs w:val="21"/>
          <w:highlight w:val="none"/>
          <w:lang w:eastAsia="en-US"/>
        </w:rPr>
        <w:t>“苏采云”系统（网址：http://jszfcg.jsczt.cn/）“开标大厅”</w:t>
      </w:r>
    </w:p>
    <w:p w14:paraId="707F9C12">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highlight w:val="none"/>
        </w:rPr>
        <w:t>投标供应商解密限定在开标后30分钟之内完成</w:t>
      </w:r>
      <w:r>
        <w:rPr>
          <w:rFonts w:hint="eastAsia" w:ascii="宋体" w:hAnsi="宋体" w:cs="宋体"/>
          <w:szCs w:val="21"/>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A93463D">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注：</w:t>
      </w:r>
      <w:r>
        <w:rPr>
          <w:rFonts w:hint="eastAsia" w:ascii="宋体" w:hAnsi="宋体" w:cs="宋体"/>
          <w:szCs w:val="21"/>
          <w:highlight w:val="none"/>
        </w:rPr>
        <w:t>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p>
    <w:p w14:paraId="2EFA7AFC">
      <w:pPr>
        <w:spacing w:line="360" w:lineRule="auto"/>
        <w:rPr>
          <w:rFonts w:hint="eastAsia" w:ascii="宋体" w:hAnsi="宋体" w:cs="宋体"/>
          <w:b/>
          <w:bCs/>
          <w:szCs w:val="21"/>
          <w:highlight w:val="none"/>
        </w:rPr>
      </w:pPr>
      <w:r>
        <w:rPr>
          <w:rFonts w:hint="eastAsia" w:ascii="宋体" w:hAnsi="宋体" w:cs="宋体"/>
          <w:b/>
          <w:bCs/>
          <w:szCs w:val="21"/>
          <w:highlight w:val="none"/>
        </w:rPr>
        <w:t>六、公告期限</w:t>
      </w:r>
      <w:bookmarkEnd w:id="24"/>
      <w:bookmarkEnd w:id="25"/>
      <w:bookmarkEnd w:id="26"/>
      <w:bookmarkEnd w:id="27"/>
    </w:p>
    <w:p w14:paraId="5A4CF3C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自本公告发布之日起3个工作日。</w:t>
      </w:r>
      <w:bookmarkStart w:id="28" w:name="_Toc35393635"/>
      <w:bookmarkStart w:id="29" w:name="_Toc35393804"/>
    </w:p>
    <w:p w14:paraId="55321301">
      <w:pPr>
        <w:numPr>
          <w:ilvl w:val="0"/>
          <w:numId w:val="1"/>
        </w:numPr>
        <w:spacing w:line="360" w:lineRule="auto"/>
        <w:rPr>
          <w:rFonts w:hint="eastAsia" w:ascii="宋体" w:hAnsi="宋体" w:cs="宋体"/>
          <w:b/>
          <w:bCs/>
          <w:szCs w:val="21"/>
          <w:highlight w:val="none"/>
        </w:rPr>
      </w:pPr>
      <w:r>
        <w:rPr>
          <w:rFonts w:hint="eastAsia" w:ascii="宋体" w:hAnsi="宋体" w:cs="宋体"/>
          <w:b/>
          <w:bCs/>
          <w:szCs w:val="21"/>
          <w:highlight w:val="none"/>
        </w:rPr>
        <w:t>其他补充事宜</w:t>
      </w:r>
      <w:bookmarkEnd w:id="28"/>
      <w:bookmarkEnd w:id="29"/>
      <w:bookmarkStart w:id="30" w:name="_Toc28359095"/>
      <w:bookmarkStart w:id="31" w:name="_Toc28359018"/>
      <w:bookmarkStart w:id="32" w:name="_Toc35393636"/>
      <w:bookmarkStart w:id="33" w:name="_Toc35393805"/>
    </w:p>
    <w:p w14:paraId="7D10002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p>
    <w:p w14:paraId="69E2BC7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3A66365E">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p>
    <w:p w14:paraId="7E40930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4.相关法律法规规定：</w:t>
      </w:r>
    </w:p>
    <w:p w14:paraId="0E548BE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符合《政府采购竞争性磋商采购方式管理办法》第三条第四项及《财政部关于竞争性磋商采购方式管理暂行办法有关问题的补充通知》（财库〔2015〕124号）规定情形的，提交最后报价的供应商可以为2家。</w:t>
      </w:r>
    </w:p>
    <w:p w14:paraId="5C88884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7CE086FF">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5.本项目为固定总价合同</w:t>
      </w:r>
      <w:r>
        <w:rPr>
          <w:rFonts w:hint="eastAsia" w:ascii="宋体" w:hAnsi="宋体" w:cs="宋体"/>
          <w:szCs w:val="21"/>
          <w:highlight w:val="none"/>
        </w:rPr>
        <w:t>，包含但不限于本项目服务过程的人员费用、差旅费、食宿费、运营管理费、税金</w:t>
      </w:r>
      <w:r>
        <w:rPr>
          <w:rFonts w:hint="eastAsia" w:ascii="宋体" w:hAnsi="宋体" w:cs="宋体"/>
          <w:szCs w:val="21"/>
          <w:highlight w:val="none"/>
          <w:lang w:eastAsia="zh-CN"/>
        </w:rPr>
        <w:t>、</w:t>
      </w:r>
      <w:r>
        <w:rPr>
          <w:rFonts w:hint="eastAsia" w:ascii="宋体" w:hAnsi="宋体" w:cs="宋体"/>
          <w:szCs w:val="21"/>
          <w:highlight w:val="none"/>
        </w:rPr>
        <w:t>一切不可预见的车辆费用、风险费用、利润等。供应商应充分考虑本项目合同实施期间可能发生的费用，并承担由此而带来的风险。</w:t>
      </w:r>
    </w:p>
    <w:p w14:paraId="4CA7CCDD">
      <w:pPr>
        <w:spacing w:line="360" w:lineRule="auto"/>
        <w:ind w:firstLine="420" w:firstLineChars="200"/>
        <w:rPr>
          <w:rFonts w:hint="eastAsia" w:ascii="宋体" w:hAnsi="宋体" w:cs="宋体"/>
          <w:b/>
          <w:bCs/>
          <w:szCs w:val="21"/>
          <w:highlight w:val="none"/>
        </w:rPr>
      </w:pPr>
      <w:r>
        <w:rPr>
          <w:rFonts w:hint="eastAsia" w:ascii="宋体" w:hAnsi="宋体" w:cs="宋体"/>
          <w:szCs w:val="21"/>
          <w:highlight w:val="none"/>
        </w:rPr>
        <w:t>6.根据《关于推动解决政府采购异常低价问题相关工作的通知》（苏财购〔2025〕62号）精神，</w:t>
      </w:r>
      <w:r>
        <w:rPr>
          <w:rFonts w:hint="eastAsia" w:ascii="宋体" w:hAnsi="宋体" w:cs="宋体"/>
          <w:b/>
          <w:bCs/>
          <w:szCs w:val="21"/>
          <w:highlight w:val="none"/>
        </w:rPr>
        <w:t>政府采购评审中出现下列情形之一的，评审委员会应当启动异常低价投标（响应）审查程序：</w:t>
      </w:r>
    </w:p>
    <w:p w14:paraId="5C6B073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6.1投标（响应）报价低于采购项目预算 50%的，即投标（响应）报价＜采购项目预算 ×50%；</w:t>
      </w:r>
    </w:p>
    <w:p w14:paraId="1101778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6.2投标（响应）报价低于采购项目最高限价45%的，即投标（响应）报价＜采购项目最高限价 ×45%；</w:t>
      </w:r>
    </w:p>
    <w:p w14:paraId="0053D4C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6.3评审委员会认定的供应商报价过低、有可能影响产品质量或者不能诚信履约的其他情形。</w:t>
      </w:r>
    </w:p>
    <w:p w14:paraId="2B17BD5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8C7E95B">
      <w:pPr>
        <w:adjustRightInd w:val="0"/>
        <w:snapToGrid w:val="0"/>
        <w:spacing w:line="360" w:lineRule="auto"/>
        <w:rPr>
          <w:rFonts w:hint="eastAsia" w:ascii="宋体" w:hAnsi="宋体" w:cs="宋体"/>
          <w:b/>
          <w:bCs/>
          <w:szCs w:val="21"/>
          <w:highlight w:val="none"/>
        </w:rPr>
      </w:pPr>
      <w:r>
        <w:rPr>
          <w:rFonts w:hint="eastAsia" w:ascii="宋体" w:hAnsi="宋体" w:cs="宋体"/>
          <w:b/>
          <w:bCs/>
          <w:szCs w:val="21"/>
          <w:highlight w:val="none"/>
        </w:rPr>
        <w:t>八、凡对本次采购提出询问，请按以下方式联系</w:t>
      </w:r>
      <w:bookmarkEnd w:id="30"/>
      <w:bookmarkEnd w:id="31"/>
      <w:bookmarkEnd w:id="32"/>
      <w:bookmarkEnd w:id="33"/>
      <w:r>
        <w:rPr>
          <w:rFonts w:hint="eastAsia" w:ascii="宋体" w:hAnsi="宋体" w:cs="宋体"/>
          <w:b/>
          <w:bCs/>
          <w:szCs w:val="21"/>
          <w:highlight w:val="none"/>
        </w:rPr>
        <w:t>。</w:t>
      </w:r>
    </w:p>
    <w:p w14:paraId="3850311C">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bidi="ar"/>
        </w:rPr>
        <w:t>1.采购单位：</w:t>
      </w:r>
      <w:r>
        <w:rPr>
          <w:rFonts w:hint="eastAsia" w:ascii="宋体" w:hAnsi="宋体" w:cs="宋体"/>
          <w:kern w:val="2"/>
          <w:szCs w:val="21"/>
          <w:highlight w:val="none"/>
          <w:lang w:eastAsia="zh-CN" w:bidi="ar"/>
        </w:rPr>
        <w:t xml:space="preserve">泰州医药高新技术产业开发区（泰州市高港区）医药产业园管理办公室 </w:t>
      </w:r>
    </w:p>
    <w:p w14:paraId="7778CBF8">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bidi="ar"/>
        </w:rPr>
        <w:t>地址：</w:t>
      </w:r>
      <w:r>
        <w:rPr>
          <w:rFonts w:hint="eastAsia" w:ascii="宋体" w:hAnsi="宋体" w:cs="宋体"/>
          <w:szCs w:val="21"/>
          <w:highlight w:val="none"/>
          <w:lang w:val="en-US" w:eastAsia="zh-CN"/>
        </w:rPr>
        <w:t xml:space="preserve">泰州医药高新区药城大道809号 </w:t>
      </w:r>
    </w:p>
    <w:p w14:paraId="39615E93">
      <w:pPr>
        <w:kinsoku/>
        <w:overflowPunct/>
        <w:bidi w:val="0"/>
        <w:spacing w:line="360" w:lineRule="auto"/>
        <w:ind w:firstLine="420" w:firstLineChars="200"/>
        <w:contextualSpacing/>
        <w:rPr>
          <w:rFonts w:hint="eastAsia" w:cs="宋体" w:asciiTheme="minorEastAsia" w:hAnsiTheme="minorEastAsia" w:eastAsiaTheme="minorEastAsia"/>
          <w:bCs/>
          <w:szCs w:val="21"/>
          <w:highlight w:val="none"/>
          <w:lang w:eastAsia="zh-CN"/>
        </w:rPr>
      </w:pPr>
      <w:r>
        <w:rPr>
          <w:rFonts w:hint="eastAsia" w:ascii="宋体" w:hAnsi="宋体" w:cs="宋体"/>
          <w:szCs w:val="21"/>
          <w:highlight w:val="none"/>
          <w:lang w:bidi="ar"/>
        </w:rPr>
        <w:t>联系</w:t>
      </w:r>
      <w:r>
        <w:rPr>
          <w:rFonts w:hint="eastAsia" w:ascii="宋体" w:hAnsi="宋体" w:cs="宋体"/>
          <w:szCs w:val="21"/>
          <w:highlight w:val="none"/>
          <w:lang w:val="en-US" w:eastAsia="zh-CN" w:bidi="ar"/>
        </w:rPr>
        <w:t>人</w:t>
      </w:r>
      <w:r>
        <w:rPr>
          <w:rFonts w:hint="eastAsia" w:ascii="宋体" w:hAnsi="宋体" w:cs="宋体"/>
          <w:szCs w:val="21"/>
          <w:highlight w:val="none"/>
          <w:lang w:bidi="ar"/>
        </w:rPr>
        <w:t>：</w:t>
      </w:r>
      <w:r>
        <w:rPr>
          <w:rFonts w:hint="eastAsia" w:ascii="宋体" w:hAnsi="宋体" w:cs="宋体"/>
          <w:szCs w:val="21"/>
          <w:highlight w:val="none"/>
          <w:lang w:val="en-US" w:eastAsia="zh-CN" w:bidi="ar"/>
        </w:rPr>
        <w:t>黄女士 联系电话：</w:t>
      </w:r>
      <w:r>
        <w:rPr>
          <w:rFonts w:hint="eastAsia" w:cs="宋体" w:asciiTheme="minorEastAsia" w:hAnsiTheme="minorEastAsia" w:eastAsiaTheme="minorEastAsia"/>
          <w:bCs/>
          <w:szCs w:val="21"/>
          <w:highlight w:val="none"/>
        </w:rPr>
        <w:t>0523-</w:t>
      </w:r>
      <w:r>
        <w:rPr>
          <w:rFonts w:hint="eastAsia" w:cs="宋体" w:asciiTheme="minorEastAsia" w:hAnsiTheme="minorEastAsia" w:eastAsiaTheme="minorEastAsia"/>
          <w:bCs/>
          <w:szCs w:val="21"/>
          <w:highlight w:val="none"/>
          <w:lang w:val="en-US" w:eastAsia="zh-CN"/>
        </w:rPr>
        <w:t xml:space="preserve">86200282 </w:t>
      </w:r>
    </w:p>
    <w:p w14:paraId="604F2E4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2.代理机构：江苏华强工程投资管理咨询有限公司</w:t>
      </w:r>
    </w:p>
    <w:p w14:paraId="58AE4D73">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bidi="ar"/>
        </w:rPr>
        <w:t>联 系 人：杨女士，  联系电话：</w:t>
      </w:r>
      <w:r>
        <w:rPr>
          <w:rFonts w:hint="eastAsia" w:ascii="宋体" w:hAnsi="宋体" w:cs="宋体"/>
          <w:szCs w:val="21"/>
          <w:highlight w:val="none"/>
          <w:lang w:eastAsia="zh-CN" w:bidi="ar"/>
        </w:rPr>
        <w:t>0523-82987125</w:t>
      </w:r>
    </w:p>
    <w:p w14:paraId="31DE2CD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办公地址：泰州市海陵南路179号华诚大厦B座9楼西侧 邮政编码：225300</w:t>
      </w:r>
    </w:p>
    <w:p w14:paraId="336A00F4">
      <w:pPr>
        <w:spacing w:line="360" w:lineRule="auto"/>
        <w:ind w:firstLine="420" w:firstLineChars="200"/>
        <w:rPr>
          <w:rFonts w:hint="eastAsia" w:ascii="宋体" w:hAnsi="宋体" w:cs="宋体"/>
          <w:szCs w:val="21"/>
          <w:highlight w:val="none"/>
        </w:rPr>
      </w:pPr>
      <w:bookmarkStart w:id="34" w:name="_Toc28359098"/>
      <w:bookmarkStart w:id="35" w:name="_Toc35393808"/>
      <w:bookmarkStart w:id="36" w:name="_Toc28359021"/>
      <w:bookmarkStart w:id="37" w:name="_Toc35393639"/>
      <w:r>
        <w:rPr>
          <w:rFonts w:hint="eastAsia" w:ascii="宋体" w:hAnsi="宋体" w:cs="宋体"/>
          <w:szCs w:val="21"/>
          <w:highlight w:val="none"/>
          <w:lang w:bidi="ar"/>
        </w:rPr>
        <w:t>3.项目联系方式</w:t>
      </w:r>
      <w:bookmarkEnd w:id="34"/>
      <w:bookmarkEnd w:id="35"/>
      <w:bookmarkEnd w:id="36"/>
      <w:bookmarkEnd w:id="37"/>
    </w:p>
    <w:p w14:paraId="04B35EDF">
      <w:pPr>
        <w:spacing w:line="360" w:lineRule="auto"/>
        <w:ind w:firstLine="420" w:firstLineChars="200"/>
        <w:rPr>
          <w:rFonts w:hint="eastAsia" w:ascii="宋体" w:hAnsi="宋体" w:eastAsia="宋体"/>
          <w:b/>
          <w:szCs w:val="21"/>
          <w:highlight w:val="none"/>
          <w:lang w:eastAsia="zh-CN"/>
        </w:rPr>
        <w:sectPr>
          <w:footerReference r:id="rId6" w:type="default"/>
          <w:pgSz w:w="11907" w:h="16840"/>
          <w:pgMar w:top="1247" w:right="1080" w:bottom="1247" w:left="1080" w:header="851" w:footer="851" w:gutter="0"/>
          <w:cols w:space="720" w:num="1"/>
          <w:docGrid w:linePitch="312" w:charSpace="0"/>
        </w:sectPr>
      </w:pPr>
      <w:r>
        <w:rPr>
          <w:rFonts w:hint="eastAsia" w:ascii="宋体" w:hAnsi="宋体" w:cs="宋体"/>
          <w:szCs w:val="21"/>
          <w:highlight w:val="none"/>
          <w:lang w:bidi="ar"/>
        </w:rPr>
        <w:t>项目联系人：杨女士     联系电话：</w:t>
      </w:r>
      <w:r>
        <w:rPr>
          <w:rFonts w:hint="eastAsia" w:ascii="宋体" w:hAnsi="宋体" w:cs="宋体"/>
          <w:szCs w:val="21"/>
          <w:highlight w:val="none"/>
          <w:lang w:eastAsia="zh-CN" w:bidi="ar"/>
        </w:rPr>
        <w:t>0523-82987125</w:t>
      </w:r>
    </w:p>
    <w:p w14:paraId="704B3666">
      <w:pPr>
        <w:spacing w:line="360" w:lineRule="auto"/>
        <w:ind w:firstLine="422" w:firstLineChars="200"/>
        <w:jc w:val="center"/>
        <w:rPr>
          <w:rFonts w:hint="eastAsia" w:ascii="宋体" w:hAnsi="宋体"/>
          <w:b/>
          <w:szCs w:val="21"/>
          <w:highlight w:val="none"/>
        </w:rPr>
      </w:pPr>
      <w:r>
        <w:rPr>
          <w:rFonts w:hint="eastAsia" w:ascii="宋体" w:hAnsi="宋体"/>
          <w:b/>
          <w:szCs w:val="21"/>
          <w:highlight w:val="none"/>
        </w:rPr>
        <w:t>第二章 参加磋商供应商须知</w:t>
      </w:r>
    </w:p>
    <w:p w14:paraId="1072D966">
      <w:pPr>
        <w:spacing w:line="360" w:lineRule="auto"/>
        <w:ind w:firstLine="420" w:firstLineChars="200"/>
        <w:jc w:val="center"/>
        <w:rPr>
          <w:rFonts w:hint="eastAsia" w:ascii="宋体" w:hAnsi="宋体"/>
          <w:b/>
          <w:bCs/>
          <w:szCs w:val="21"/>
          <w:highlight w:val="none"/>
        </w:rPr>
      </w:pPr>
      <w:r>
        <w:rPr>
          <w:rFonts w:hint="eastAsia" w:ascii="宋体" w:hAnsi="宋体"/>
          <w:bCs/>
          <w:szCs w:val="21"/>
          <w:highlight w:val="none"/>
        </w:rPr>
        <w:t>（参加竞争性磋商的供应商以下简称“磋商供应商”）</w:t>
      </w:r>
    </w:p>
    <w:bookmarkEnd w:id="5"/>
    <w:bookmarkEnd w:id="6"/>
    <w:bookmarkEnd w:id="7"/>
    <w:p w14:paraId="210AD8BA">
      <w:pPr>
        <w:tabs>
          <w:tab w:val="left" w:pos="900"/>
        </w:tabs>
        <w:spacing w:line="360" w:lineRule="auto"/>
        <w:ind w:firstLine="422" w:firstLineChars="200"/>
        <w:rPr>
          <w:rFonts w:hint="eastAsia" w:ascii="宋体" w:hAnsi="宋体"/>
          <w:b/>
          <w:szCs w:val="21"/>
          <w:highlight w:val="none"/>
        </w:rPr>
      </w:pPr>
      <w:r>
        <w:rPr>
          <w:rFonts w:hint="eastAsia" w:ascii="宋体" w:hAnsi="宋体"/>
          <w:b/>
          <w:szCs w:val="21"/>
          <w:highlight w:val="none"/>
        </w:rPr>
        <w:t>一、总则</w:t>
      </w:r>
    </w:p>
    <w:p w14:paraId="382913AA">
      <w:pPr>
        <w:tabs>
          <w:tab w:val="left" w:pos="900"/>
          <w:tab w:val="center" w:pos="4873"/>
        </w:tabs>
        <w:spacing w:line="360" w:lineRule="auto"/>
        <w:ind w:firstLine="420" w:firstLineChars="200"/>
        <w:rPr>
          <w:rFonts w:hint="eastAsia" w:ascii="宋体" w:hAnsi="宋体"/>
          <w:szCs w:val="21"/>
          <w:highlight w:val="none"/>
        </w:rPr>
      </w:pPr>
      <w:r>
        <w:rPr>
          <w:rFonts w:hint="eastAsia" w:ascii="宋体" w:hAnsi="宋体"/>
          <w:szCs w:val="21"/>
          <w:highlight w:val="none"/>
        </w:rPr>
        <w:t>1.适用范围</w:t>
      </w:r>
      <w:r>
        <w:rPr>
          <w:rFonts w:hint="eastAsia" w:ascii="宋体" w:hAnsi="宋体"/>
          <w:szCs w:val="21"/>
          <w:highlight w:val="none"/>
        </w:rPr>
        <w:tab/>
      </w:r>
    </w:p>
    <w:p w14:paraId="1AE42E29">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本磋商文件仅适用于</w:t>
      </w:r>
      <w:r>
        <w:rPr>
          <w:rFonts w:hint="eastAsia" w:ascii="宋体" w:hAnsi="宋体"/>
          <w:szCs w:val="21"/>
          <w:highlight w:val="none"/>
          <w:lang w:eastAsia="zh-CN"/>
        </w:rPr>
        <w:t>“中国医药城大健康产业论坛”策划执行服务项目</w:t>
      </w:r>
      <w:r>
        <w:rPr>
          <w:rFonts w:hint="eastAsia" w:ascii="宋体" w:hAnsi="宋体"/>
          <w:szCs w:val="21"/>
          <w:highlight w:val="none"/>
        </w:rPr>
        <w:t>。</w:t>
      </w:r>
    </w:p>
    <w:p w14:paraId="3ECBA6B9">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2.项目采购方式</w:t>
      </w:r>
    </w:p>
    <w:p w14:paraId="25C7DA28">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本次采购采取竞争性磋商的方式。</w:t>
      </w:r>
    </w:p>
    <w:p w14:paraId="7F08E6ED">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3.合格的磋商供应商</w:t>
      </w:r>
    </w:p>
    <w:p w14:paraId="13900D5C">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3.1满足本磋商文件“竞争性磋商采购公告”中合格磋商供应商资格要求的规定。</w:t>
      </w:r>
    </w:p>
    <w:p w14:paraId="185D2E42">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3.2.满足本磋商文件实质性要求和条件的规定。</w:t>
      </w:r>
    </w:p>
    <w:p w14:paraId="49C4576B">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4.参加磋商费用</w:t>
      </w:r>
    </w:p>
    <w:p w14:paraId="0C5A7B9E">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4.1参加磋商供应商应自行承担所有与参加磋商有关的费用。不论最终的成交结果如何，江苏华强工程投资管理咨询有限公司（以下简称代理机构）在任何情况下均无义务和责任承担这些费用。</w:t>
      </w:r>
    </w:p>
    <w:p w14:paraId="56544D65">
      <w:pPr>
        <w:pageBreakBefore w:val="0"/>
        <w:kinsoku/>
        <w:topLinePunct w:val="0"/>
        <w:bidi w:val="0"/>
        <w:spacing w:line="360" w:lineRule="auto"/>
        <w:ind w:firstLine="482"/>
        <w:rPr>
          <w:rFonts w:ascii="宋体" w:hAnsi="宋体" w:cs="宋体"/>
          <w:b/>
          <w:bCs/>
          <w:szCs w:val="21"/>
          <w:highlight w:val="none"/>
          <w:u w:val="single"/>
        </w:rPr>
      </w:pPr>
      <w:r>
        <w:rPr>
          <w:rFonts w:hint="eastAsia" w:ascii="宋体" w:hAnsi="宋体"/>
          <w:b/>
          <w:bCs/>
          <w:szCs w:val="21"/>
          <w:highlight w:val="none"/>
        </w:rPr>
        <w:t>4.2</w:t>
      </w:r>
      <w:r>
        <w:rPr>
          <w:rFonts w:hint="eastAsia" w:ascii="宋体" w:hAnsi="宋体" w:cs="宋体"/>
          <w:b/>
          <w:bCs/>
          <w:szCs w:val="21"/>
          <w:highlight w:val="none"/>
          <w:u w:val="single"/>
        </w:rPr>
        <w:t>招标代理服务费</w:t>
      </w:r>
      <w:r>
        <w:rPr>
          <w:rFonts w:hint="eastAsia" w:ascii="宋体" w:hAnsi="宋体" w:cs="宋体"/>
          <w:b/>
          <w:bCs/>
          <w:szCs w:val="21"/>
          <w:highlight w:val="none"/>
          <w:u w:val="single"/>
          <w:lang w:val="en-US" w:eastAsia="zh-CN"/>
        </w:rPr>
        <w:t>按招标代理服务合同约定由采购人支付</w:t>
      </w:r>
      <w:r>
        <w:rPr>
          <w:rFonts w:hint="eastAsia" w:ascii="宋体" w:hAnsi="宋体" w:cs="宋体"/>
          <w:b/>
          <w:bCs/>
          <w:szCs w:val="21"/>
          <w:highlight w:val="none"/>
          <w:u w:val="single"/>
        </w:rPr>
        <w:t>。</w:t>
      </w:r>
    </w:p>
    <w:p w14:paraId="20C709D6">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5.磋商文件的约束力</w:t>
      </w:r>
    </w:p>
    <w:p w14:paraId="0ED11A7B">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供应商一旦领取了本磋商文件并决定参加磋商，即被视为接受了本磋商文件的规定和约束，并且视为自竞争性磋商公告期限届满之日起已经知道或应当知道自身权益是否受到了损害。</w:t>
      </w:r>
    </w:p>
    <w:p w14:paraId="06F19BF5">
      <w:pPr>
        <w:tabs>
          <w:tab w:val="left" w:pos="900"/>
        </w:tabs>
        <w:spacing w:line="360" w:lineRule="auto"/>
        <w:ind w:firstLine="420" w:firstLineChars="200"/>
        <w:rPr>
          <w:rFonts w:hint="eastAsia" w:ascii="宋体" w:hAnsi="宋体"/>
          <w:szCs w:val="21"/>
          <w:highlight w:val="none"/>
        </w:rPr>
      </w:pPr>
      <w:bookmarkStart w:id="38" w:name="_Toc16938553"/>
      <w:bookmarkStart w:id="39" w:name="_Toc20823309"/>
      <w:bookmarkStart w:id="40" w:name="_Toc513029237"/>
      <w:r>
        <w:rPr>
          <w:rFonts w:hint="eastAsia" w:ascii="宋体" w:hAnsi="宋体"/>
          <w:szCs w:val="21"/>
          <w:highlight w:val="none"/>
        </w:rPr>
        <w:t>6.磋商文件的解释</w:t>
      </w:r>
    </w:p>
    <w:p w14:paraId="7DF8AD1D">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磋商文件需求部分（供应商资格要求、项目需求、商务技术评分标准）由采购人解释，其他部分由采购代理机构解释。</w:t>
      </w:r>
    </w:p>
    <w:p w14:paraId="48162AB2">
      <w:pPr>
        <w:spacing w:line="360" w:lineRule="auto"/>
        <w:ind w:firstLine="482"/>
        <w:rPr>
          <w:rFonts w:cs="宋体"/>
          <w:b/>
          <w:szCs w:val="21"/>
          <w:highlight w:val="none"/>
        </w:rPr>
      </w:pPr>
      <w:bookmarkStart w:id="41" w:name="_Toc16938525"/>
      <w:bookmarkStart w:id="42" w:name="_Toc120614215"/>
      <w:bookmarkStart w:id="43" w:name="_Toc20823281"/>
      <w:r>
        <w:rPr>
          <w:rFonts w:hint="eastAsia" w:cs="宋体"/>
          <w:b/>
          <w:szCs w:val="21"/>
          <w:highlight w:val="none"/>
        </w:rPr>
        <w:t>二、磋商文件</w:t>
      </w:r>
      <w:bookmarkEnd w:id="41"/>
      <w:bookmarkEnd w:id="42"/>
      <w:bookmarkEnd w:id="43"/>
    </w:p>
    <w:p w14:paraId="1570BD91">
      <w:pPr>
        <w:tabs>
          <w:tab w:val="left" w:pos="900"/>
        </w:tabs>
        <w:spacing w:line="360" w:lineRule="auto"/>
        <w:ind w:firstLine="420" w:firstLineChars="200"/>
        <w:rPr>
          <w:rFonts w:hint="eastAsia" w:ascii="宋体" w:hAnsi="宋体"/>
          <w:szCs w:val="21"/>
          <w:highlight w:val="none"/>
        </w:rPr>
      </w:pPr>
      <w:bookmarkStart w:id="44" w:name="_Toc16938526"/>
      <w:bookmarkStart w:id="45" w:name="_Toc513029210"/>
      <w:bookmarkStart w:id="46" w:name="_Toc20823282"/>
      <w:r>
        <w:rPr>
          <w:rFonts w:hint="eastAsia" w:ascii="宋体" w:hAnsi="宋体"/>
          <w:szCs w:val="21"/>
          <w:highlight w:val="none"/>
        </w:rPr>
        <w:t>1.磋商文件构成</w:t>
      </w:r>
      <w:bookmarkEnd w:id="44"/>
      <w:bookmarkEnd w:id="45"/>
      <w:bookmarkEnd w:id="46"/>
    </w:p>
    <w:p w14:paraId="2125216B">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1.1 磋商文件由以下部分组成：</w:t>
      </w:r>
    </w:p>
    <w:p w14:paraId="287FD320">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（1）竞争性磋商公告</w:t>
      </w:r>
    </w:p>
    <w:p w14:paraId="4AD33084">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（2）供应商须知</w:t>
      </w:r>
    </w:p>
    <w:p w14:paraId="22F91325">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（3）合同条款及格式</w:t>
      </w:r>
    </w:p>
    <w:p w14:paraId="48602817">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（4）项目需求</w:t>
      </w:r>
    </w:p>
    <w:p w14:paraId="2BEED64B">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（5）评审方法和评审标准</w:t>
      </w:r>
    </w:p>
    <w:p w14:paraId="049FD038">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（6）响应文件组成和格式</w:t>
      </w:r>
    </w:p>
    <w:p w14:paraId="0203A713">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请仔细检查磋商文件是否齐全，如有缺漏请立即与采购人或采购代理机构联系解决。</w:t>
      </w:r>
    </w:p>
    <w:p w14:paraId="612D3641">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E8737DB">
      <w:pPr>
        <w:tabs>
          <w:tab w:val="left" w:pos="900"/>
        </w:tabs>
        <w:spacing w:line="360" w:lineRule="auto"/>
        <w:ind w:firstLine="420" w:firstLineChars="200"/>
        <w:rPr>
          <w:rFonts w:hint="eastAsia" w:ascii="宋体" w:hAnsi="宋体"/>
          <w:szCs w:val="21"/>
          <w:highlight w:val="none"/>
        </w:rPr>
      </w:pPr>
      <w:bookmarkStart w:id="47" w:name="_Toc462564070"/>
      <w:bookmarkStart w:id="48" w:name="_Toc513029211"/>
      <w:bookmarkStart w:id="49" w:name="_Toc16938527"/>
      <w:bookmarkStart w:id="50" w:name="_Toc20823283"/>
      <w:r>
        <w:rPr>
          <w:rFonts w:hint="eastAsia" w:ascii="宋体" w:hAnsi="宋体"/>
          <w:szCs w:val="21"/>
          <w:highlight w:val="none"/>
        </w:rPr>
        <w:t>2.磋商文件的澄清</w:t>
      </w:r>
      <w:bookmarkEnd w:id="47"/>
      <w:bookmarkEnd w:id="48"/>
      <w:bookmarkEnd w:id="49"/>
      <w:bookmarkEnd w:id="50"/>
    </w:p>
    <w:p w14:paraId="447687AD">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123FDDC1">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2.2采购人可以视采购项目的具体情况，组织供应商进行现场考察或召开磋商前答疑会，但不单独或分别组织只有一个供应商参加的现场考察和答疑会。</w:t>
      </w:r>
    </w:p>
    <w:p w14:paraId="372AE9CA">
      <w:pPr>
        <w:tabs>
          <w:tab w:val="left" w:pos="900"/>
        </w:tabs>
        <w:spacing w:line="360" w:lineRule="auto"/>
        <w:ind w:firstLine="420" w:firstLineChars="200"/>
        <w:rPr>
          <w:rFonts w:hint="eastAsia" w:ascii="宋体" w:hAnsi="宋体"/>
          <w:szCs w:val="21"/>
          <w:highlight w:val="none"/>
        </w:rPr>
      </w:pPr>
      <w:bookmarkStart w:id="51" w:name="_Toc20823284"/>
      <w:bookmarkStart w:id="52" w:name="_Toc513029212"/>
      <w:bookmarkStart w:id="53" w:name="_Toc462564071"/>
      <w:bookmarkStart w:id="54" w:name="_Toc16938528"/>
      <w:r>
        <w:rPr>
          <w:rFonts w:hint="eastAsia" w:ascii="宋体" w:hAnsi="宋体"/>
          <w:szCs w:val="21"/>
          <w:highlight w:val="none"/>
        </w:rPr>
        <w:t>3.磋商文件的修改</w:t>
      </w:r>
      <w:bookmarkEnd w:id="51"/>
      <w:bookmarkEnd w:id="52"/>
      <w:bookmarkEnd w:id="53"/>
      <w:bookmarkEnd w:id="54"/>
    </w:p>
    <w:p w14:paraId="0457B876">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highlight w:val="none"/>
        </w:rPr>
        <w:br w:type="textWrapping"/>
      </w:r>
      <w:r>
        <w:rPr>
          <w:rFonts w:hint="eastAsia" w:ascii="宋体" w:hAnsi="宋体"/>
          <w:szCs w:val="21"/>
          <w:highlight w:val="none"/>
        </w:rPr>
        <w:t xml:space="preserve">    3.2磋商文件的修改将在江苏政府采购网公布，补充文件将作为磋商文件的组成部分，并对供应商具有约束力。</w:t>
      </w:r>
    </w:p>
    <w:p w14:paraId="344C44AF">
      <w:pPr>
        <w:spacing w:line="360" w:lineRule="auto"/>
        <w:ind w:firstLine="482"/>
        <w:rPr>
          <w:rFonts w:hint="eastAsia" w:ascii="宋体" w:hAnsi="宋体" w:cs="宋体"/>
          <w:b/>
          <w:bCs/>
          <w:szCs w:val="21"/>
          <w:highlight w:val="none"/>
          <w:u w:val="single"/>
        </w:rPr>
      </w:pPr>
      <w:r>
        <w:rPr>
          <w:rFonts w:hint="eastAsia" w:ascii="宋体" w:hAnsi="宋体" w:cs="宋体"/>
          <w:b/>
          <w:bCs/>
          <w:szCs w:val="21"/>
          <w:highlight w:val="none"/>
          <w:u w:val="singl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p>
    <w:p w14:paraId="6CF3C1CB">
      <w:pPr>
        <w:spacing w:line="360" w:lineRule="auto"/>
        <w:ind w:firstLine="480"/>
        <w:rPr>
          <w:rFonts w:hint="eastAsia" w:ascii="宋体" w:hAnsi="宋体" w:cs="宋体"/>
          <w:szCs w:val="21"/>
          <w:highlight w:val="none"/>
        </w:rPr>
      </w:pPr>
      <w:r>
        <w:rPr>
          <w:rFonts w:hint="eastAsia" w:ascii="宋体" w:hAnsi="宋体" w:cs="宋体"/>
          <w:szCs w:val="21"/>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5E5E68E1">
      <w:pPr>
        <w:spacing w:line="360" w:lineRule="auto"/>
        <w:ind w:firstLine="482"/>
        <w:rPr>
          <w:rFonts w:hint="eastAsia" w:ascii="宋体" w:hAnsi="宋体" w:cs="宋体"/>
          <w:b/>
          <w:szCs w:val="21"/>
          <w:highlight w:val="none"/>
        </w:rPr>
      </w:pPr>
      <w:bookmarkStart w:id="55" w:name="_Toc120614216"/>
      <w:bookmarkStart w:id="56" w:name="_Toc16938529"/>
      <w:bookmarkStart w:id="57" w:name="_Toc462564072"/>
      <w:bookmarkStart w:id="58" w:name="_Toc513029213"/>
      <w:bookmarkStart w:id="59" w:name="_Toc20823285"/>
      <w:r>
        <w:rPr>
          <w:rFonts w:hint="eastAsia" w:ascii="宋体" w:hAnsi="宋体" w:cs="宋体"/>
          <w:b/>
          <w:szCs w:val="21"/>
          <w:highlight w:val="none"/>
        </w:rPr>
        <w:t>三、响应文件的编制</w:t>
      </w:r>
      <w:bookmarkEnd w:id="55"/>
      <w:bookmarkEnd w:id="56"/>
      <w:bookmarkEnd w:id="57"/>
      <w:bookmarkEnd w:id="58"/>
      <w:bookmarkEnd w:id="59"/>
    </w:p>
    <w:p w14:paraId="66EA5B60">
      <w:pPr>
        <w:spacing w:line="360" w:lineRule="auto"/>
        <w:ind w:firstLine="480"/>
        <w:rPr>
          <w:rFonts w:hint="eastAsia" w:ascii="宋体" w:hAnsi="宋体" w:cs="宋体"/>
          <w:szCs w:val="21"/>
          <w:highlight w:val="none"/>
        </w:rPr>
      </w:pPr>
      <w:bookmarkStart w:id="60" w:name="_Toc462564073"/>
      <w:bookmarkStart w:id="61" w:name="_Toc513029214"/>
      <w:bookmarkStart w:id="62" w:name="_Toc20823286"/>
      <w:bookmarkStart w:id="63" w:name="_Toc16938530"/>
      <w:r>
        <w:rPr>
          <w:rFonts w:hint="eastAsia" w:ascii="宋体" w:hAnsi="宋体" w:cs="宋体"/>
          <w:szCs w:val="21"/>
          <w:highlight w:val="none"/>
        </w:rPr>
        <w:t>1.响应文件的语言及度量衡单位</w:t>
      </w:r>
      <w:bookmarkEnd w:id="60"/>
      <w:bookmarkEnd w:id="61"/>
      <w:bookmarkEnd w:id="62"/>
      <w:bookmarkEnd w:id="63"/>
    </w:p>
    <w:p w14:paraId="47C05155">
      <w:pPr>
        <w:spacing w:line="360" w:lineRule="auto"/>
        <w:ind w:firstLine="480"/>
        <w:rPr>
          <w:rFonts w:hint="eastAsia" w:ascii="宋体" w:hAnsi="宋体" w:cs="宋体"/>
          <w:szCs w:val="21"/>
          <w:highlight w:val="none"/>
        </w:rPr>
      </w:pPr>
      <w:r>
        <w:rPr>
          <w:rFonts w:hint="eastAsia" w:ascii="宋体" w:hAnsi="宋体" w:cs="宋体"/>
          <w:szCs w:val="21"/>
          <w:highlight w:val="none"/>
        </w:rPr>
        <w:t>1.1供应商提交的响应文件以及供应商与采购人或采购代理机构就有关磋商的所有来往通知、函件和文件均应使用简体中文。</w:t>
      </w:r>
    </w:p>
    <w:p w14:paraId="37FD1374">
      <w:pPr>
        <w:spacing w:line="360" w:lineRule="auto"/>
        <w:ind w:firstLine="480"/>
        <w:rPr>
          <w:rFonts w:hint="eastAsia" w:ascii="宋体" w:hAnsi="宋体" w:cs="宋体"/>
          <w:szCs w:val="21"/>
          <w:highlight w:val="none"/>
        </w:rPr>
      </w:pPr>
      <w:r>
        <w:rPr>
          <w:rFonts w:hint="eastAsia" w:ascii="宋体" w:hAnsi="宋体" w:cs="宋体"/>
          <w:szCs w:val="21"/>
          <w:highlight w:val="none"/>
        </w:rPr>
        <w:t>1.2除技术性能另有规定外，响应文件所使用的度量衡单位，均须采用国家法定计量单位。</w:t>
      </w:r>
    </w:p>
    <w:p w14:paraId="02E0205C">
      <w:pPr>
        <w:spacing w:line="360" w:lineRule="auto"/>
        <w:ind w:firstLine="480"/>
        <w:rPr>
          <w:rFonts w:hint="eastAsia" w:ascii="宋体" w:hAnsi="宋体" w:cs="宋体"/>
          <w:szCs w:val="21"/>
          <w:highlight w:val="none"/>
        </w:rPr>
      </w:pPr>
      <w:bookmarkStart w:id="64" w:name="_Toc462564074"/>
      <w:bookmarkStart w:id="65" w:name="_Toc16938531"/>
      <w:bookmarkStart w:id="66" w:name="_Toc513029215"/>
      <w:bookmarkStart w:id="67" w:name="_Toc20823287"/>
      <w:r>
        <w:rPr>
          <w:rFonts w:hint="eastAsia" w:ascii="宋体" w:hAnsi="宋体" w:cs="宋体"/>
          <w:szCs w:val="21"/>
          <w:highlight w:val="none"/>
        </w:rPr>
        <w:t>2.响应文件构成</w:t>
      </w:r>
      <w:bookmarkEnd w:id="64"/>
      <w:bookmarkEnd w:id="65"/>
      <w:bookmarkEnd w:id="66"/>
      <w:bookmarkEnd w:id="67"/>
    </w:p>
    <w:p w14:paraId="6B462D61">
      <w:pPr>
        <w:spacing w:line="360" w:lineRule="auto"/>
        <w:ind w:firstLine="480"/>
        <w:rPr>
          <w:rFonts w:hint="eastAsia" w:ascii="宋体" w:hAnsi="宋体" w:cs="宋体"/>
          <w:szCs w:val="21"/>
          <w:highlight w:val="none"/>
        </w:rPr>
      </w:pPr>
      <w:r>
        <w:rPr>
          <w:rFonts w:hint="eastAsia" w:ascii="宋体" w:hAnsi="宋体" w:cs="宋体"/>
          <w:szCs w:val="21"/>
          <w:highlight w:val="none"/>
        </w:rPr>
        <w:t>2.1供应商编写的响应文件应包括资格审查文件、商务技术响应文件、报价响应文件。供应商按第六章 响应文件的组成和格式要求编写响应文件。</w:t>
      </w:r>
    </w:p>
    <w:p w14:paraId="7E47D8C6">
      <w:pPr>
        <w:spacing w:line="360" w:lineRule="auto"/>
        <w:ind w:firstLine="480"/>
        <w:rPr>
          <w:rFonts w:hint="eastAsia" w:ascii="宋体" w:hAnsi="宋体" w:cs="宋体"/>
          <w:szCs w:val="21"/>
          <w:highlight w:val="none"/>
        </w:rPr>
      </w:pPr>
      <w:bookmarkStart w:id="68" w:name="_Hlt26670360"/>
      <w:bookmarkEnd w:id="68"/>
      <w:bookmarkStart w:id="69" w:name="_Hlt26954838"/>
      <w:bookmarkEnd w:id="69"/>
      <w:bookmarkStart w:id="70" w:name="_Hlt26668975"/>
      <w:bookmarkEnd w:id="70"/>
      <w:bookmarkStart w:id="71" w:name="_Toc14577360"/>
      <w:bookmarkStart w:id="72" w:name="_Toc49090511"/>
      <w:r>
        <w:rPr>
          <w:rFonts w:hint="eastAsia" w:ascii="宋体" w:hAnsi="宋体" w:cs="宋体"/>
          <w:szCs w:val="21"/>
          <w:highlight w:val="none"/>
        </w:rPr>
        <w:t>3.</w:t>
      </w:r>
      <w:bookmarkEnd w:id="71"/>
      <w:bookmarkEnd w:id="72"/>
      <w:r>
        <w:rPr>
          <w:rFonts w:hint="eastAsia" w:ascii="宋体" w:hAnsi="宋体" w:cs="宋体"/>
          <w:szCs w:val="21"/>
          <w:highlight w:val="none"/>
        </w:rPr>
        <w:t>磋商响应有效期</w:t>
      </w:r>
    </w:p>
    <w:p w14:paraId="2554227C">
      <w:pPr>
        <w:spacing w:line="360" w:lineRule="auto"/>
        <w:ind w:firstLine="480"/>
        <w:rPr>
          <w:rFonts w:hint="eastAsia" w:ascii="宋体" w:hAnsi="宋体" w:cs="宋体"/>
          <w:szCs w:val="21"/>
          <w:highlight w:val="none"/>
        </w:rPr>
      </w:pPr>
      <w:r>
        <w:rPr>
          <w:rFonts w:hint="eastAsia" w:ascii="宋体" w:hAnsi="宋体" w:cs="宋体"/>
          <w:bCs/>
          <w:szCs w:val="21"/>
          <w:highlight w:val="none"/>
        </w:rPr>
        <w:t>3.1磋商响应有效期为采购文件规定的响应文件</w:t>
      </w:r>
      <w:r>
        <w:rPr>
          <w:rFonts w:hint="eastAsia" w:ascii="宋体" w:hAnsi="宋体" w:cs="宋体"/>
          <w:szCs w:val="21"/>
          <w:highlight w:val="none"/>
        </w:rPr>
        <w:t>提交</w:t>
      </w:r>
      <w:r>
        <w:rPr>
          <w:rFonts w:hint="eastAsia" w:ascii="宋体" w:hAnsi="宋体" w:cs="宋体"/>
          <w:bCs/>
          <w:szCs w:val="21"/>
          <w:highlight w:val="none"/>
        </w:rPr>
        <w:t>截止时间后</w:t>
      </w:r>
      <w:r>
        <w:rPr>
          <w:rFonts w:hint="eastAsia" w:ascii="宋体" w:hAnsi="宋体" w:cs="宋体"/>
          <w:b/>
          <w:szCs w:val="21"/>
          <w:highlight w:val="none"/>
          <w:u w:val="single"/>
        </w:rPr>
        <w:t>六十（60）天</w:t>
      </w:r>
      <w:r>
        <w:rPr>
          <w:rFonts w:hint="eastAsia" w:ascii="宋体" w:hAnsi="宋体" w:cs="宋体"/>
          <w:bCs/>
          <w:szCs w:val="21"/>
          <w:highlight w:val="none"/>
        </w:rPr>
        <w:t>。磋</w:t>
      </w:r>
      <w:r>
        <w:rPr>
          <w:rFonts w:hint="eastAsia" w:ascii="宋体" w:hAnsi="宋体" w:cs="宋体"/>
          <w:szCs w:val="21"/>
          <w:highlight w:val="none"/>
        </w:rPr>
        <w:t>商响应有效期比规定短的将被视为非实质性响应而予以拒绝。</w:t>
      </w:r>
    </w:p>
    <w:p w14:paraId="27BBC0F2">
      <w:pPr>
        <w:spacing w:line="360" w:lineRule="auto"/>
        <w:ind w:firstLine="480"/>
        <w:rPr>
          <w:rFonts w:hint="eastAsia" w:ascii="宋体" w:hAnsi="宋体" w:cs="宋体"/>
          <w:szCs w:val="21"/>
          <w:highlight w:val="none"/>
        </w:rPr>
      </w:pPr>
      <w:r>
        <w:rPr>
          <w:rFonts w:hint="eastAsia" w:ascii="宋体" w:hAnsi="宋体" w:cs="宋体"/>
          <w:szCs w:val="21"/>
          <w:highlight w:val="none"/>
        </w:rPr>
        <w:t>4.磋商响应有效期的延长</w:t>
      </w:r>
    </w:p>
    <w:p w14:paraId="68E5CBD8">
      <w:pPr>
        <w:spacing w:line="360" w:lineRule="auto"/>
        <w:ind w:firstLine="480"/>
        <w:rPr>
          <w:rFonts w:hint="eastAsia" w:ascii="宋体" w:hAnsi="宋体" w:cs="宋体"/>
          <w:szCs w:val="21"/>
          <w:highlight w:val="none"/>
        </w:rPr>
      </w:pPr>
      <w:r>
        <w:rPr>
          <w:rFonts w:hint="eastAsia" w:ascii="宋体" w:hAnsi="宋体" w:cs="宋体"/>
          <w:szCs w:val="21"/>
          <w:highlight w:val="none"/>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52CA05B1">
      <w:pPr>
        <w:spacing w:line="360" w:lineRule="auto"/>
        <w:ind w:firstLine="480"/>
        <w:rPr>
          <w:rFonts w:hint="eastAsia" w:ascii="宋体" w:hAnsi="宋体" w:cs="宋体"/>
          <w:szCs w:val="21"/>
          <w:highlight w:val="none"/>
        </w:rPr>
      </w:pPr>
      <w:bookmarkStart w:id="73" w:name="_Hlt26954852"/>
      <w:bookmarkEnd w:id="73"/>
      <w:bookmarkStart w:id="74" w:name="_Hlt26954739"/>
      <w:bookmarkEnd w:id="74"/>
      <w:bookmarkStart w:id="75" w:name="_Toc120614217"/>
      <w:bookmarkStart w:id="76" w:name="_Toc513029224"/>
      <w:bookmarkStart w:id="77" w:name="_Toc16938540"/>
      <w:bookmarkStart w:id="78" w:name="_Toc20823296"/>
      <w:r>
        <w:rPr>
          <w:rFonts w:hint="eastAsia" w:ascii="宋体" w:hAnsi="宋体" w:cs="宋体"/>
          <w:szCs w:val="21"/>
          <w:highlight w:val="none"/>
        </w:rPr>
        <w:t>5.电子响应文件其他要求</w:t>
      </w:r>
    </w:p>
    <w:p w14:paraId="2B494A8B">
      <w:pPr>
        <w:spacing w:line="360" w:lineRule="auto"/>
        <w:ind w:firstLine="480"/>
        <w:rPr>
          <w:rFonts w:hint="eastAsia" w:ascii="宋体" w:hAnsi="宋体" w:cs="宋体"/>
          <w:szCs w:val="21"/>
          <w:highlight w:val="none"/>
        </w:rPr>
      </w:pPr>
      <w:r>
        <w:rPr>
          <w:rFonts w:hint="eastAsia" w:ascii="宋体" w:hAnsi="宋体" w:cs="宋体"/>
          <w:szCs w:val="21"/>
          <w:highlight w:val="none"/>
        </w:rPr>
        <w:t>5.1电子招标投标交易平台（即“苏采云”系统）相关要求是本采购文件的组成部分。</w:t>
      </w:r>
    </w:p>
    <w:p w14:paraId="35BD77E9">
      <w:pPr>
        <w:spacing w:line="360" w:lineRule="auto"/>
        <w:ind w:firstLine="480"/>
        <w:rPr>
          <w:rFonts w:hint="eastAsia" w:ascii="宋体" w:hAnsi="宋体" w:cs="宋体"/>
          <w:szCs w:val="21"/>
          <w:highlight w:val="none"/>
        </w:rPr>
      </w:pPr>
      <w:r>
        <w:rPr>
          <w:rFonts w:hint="eastAsia" w:ascii="宋体" w:hAnsi="宋体" w:cs="宋体"/>
          <w:szCs w:val="21"/>
          <w:highlight w:val="none"/>
        </w:rPr>
        <w:t>5.2供应商应对CA证书妥善保管，如被他人盗用投标，因此带来的后果均由供应商自行承担。</w:t>
      </w:r>
    </w:p>
    <w:p w14:paraId="40ADEF13">
      <w:pPr>
        <w:spacing w:line="360" w:lineRule="auto"/>
        <w:ind w:firstLine="480"/>
        <w:rPr>
          <w:rFonts w:hint="eastAsia" w:ascii="宋体" w:hAnsi="宋体" w:cs="宋体"/>
          <w:szCs w:val="21"/>
          <w:highlight w:val="none"/>
        </w:rPr>
      </w:pPr>
      <w:r>
        <w:rPr>
          <w:rFonts w:hint="eastAsia" w:ascii="宋体" w:hAnsi="宋体" w:cs="宋体"/>
          <w:szCs w:val="21"/>
          <w:highlight w:val="none"/>
        </w:rPr>
        <w:t>5.3供应商应当对采购文件提出的实质性要求和条件作出实质性响应，并在电子投标系统逐条应答。</w:t>
      </w:r>
    </w:p>
    <w:p w14:paraId="6BB9860A">
      <w:pPr>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5.4供应商应对要求提供的资格证明文件（如资质证书、资格证书）、技术资料（如白皮书、彩页、手册、检测报告等）扫描上传至投标系统。 </w:t>
      </w:r>
    </w:p>
    <w:p w14:paraId="47581B2E">
      <w:pPr>
        <w:spacing w:line="360" w:lineRule="auto"/>
        <w:ind w:firstLine="480"/>
        <w:rPr>
          <w:rFonts w:hint="eastAsia" w:ascii="宋体" w:hAnsi="宋体" w:cs="宋体"/>
          <w:szCs w:val="21"/>
          <w:highlight w:val="none"/>
        </w:rPr>
      </w:pPr>
      <w:r>
        <w:rPr>
          <w:rFonts w:hint="eastAsia" w:ascii="宋体" w:hAnsi="宋体" w:cs="宋体"/>
          <w:szCs w:val="21"/>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1A177CC5">
      <w:pPr>
        <w:spacing w:line="360" w:lineRule="auto"/>
        <w:ind w:firstLine="482"/>
        <w:rPr>
          <w:rFonts w:hint="eastAsia" w:ascii="宋体" w:hAnsi="宋体" w:cs="宋体"/>
          <w:b/>
          <w:szCs w:val="21"/>
          <w:highlight w:val="none"/>
        </w:rPr>
      </w:pPr>
      <w:r>
        <w:rPr>
          <w:rFonts w:hint="eastAsia" w:ascii="宋体" w:hAnsi="宋体" w:cs="宋体"/>
          <w:b/>
          <w:szCs w:val="21"/>
          <w:highlight w:val="none"/>
        </w:rPr>
        <w:t>四、响应文件的提交</w:t>
      </w:r>
      <w:bookmarkEnd w:id="75"/>
      <w:bookmarkEnd w:id="76"/>
      <w:bookmarkEnd w:id="77"/>
      <w:bookmarkEnd w:id="78"/>
    </w:p>
    <w:p w14:paraId="121A48DE">
      <w:pPr>
        <w:spacing w:line="360" w:lineRule="auto"/>
        <w:ind w:firstLine="480"/>
        <w:rPr>
          <w:rFonts w:hint="eastAsia" w:ascii="宋体" w:hAnsi="宋体" w:cs="宋体"/>
          <w:szCs w:val="21"/>
          <w:highlight w:val="none"/>
        </w:rPr>
      </w:pPr>
      <w:bookmarkStart w:id="79" w:name="_Toc20823297"/>
      <w:bookmarkStart w:id="80" w:name="_Toc16938541"/>
      <w:bookmarkStart w:id="81" w:name="_Toc462564084"/>
      <w:bookmarkStart w:id="82" w:name="_Toc513029225"/>
      <w:bookmarkStart w:id="83" w:name="_Toc20823301"/>
      <w:bookmarkStart w:id="84" w:name="_Toc120614218"/>
      <w:bookmarkStart w:id="85" w:name="_Toc16938545"/>
      <w:bookmarkStart w:id="86" w:name="_Toc513029229"/>
      <w:r>
        <w:rPr>
          <w:rFonts w:hint="eastAsia" w:ascii="宋体" w:hAnsi="宋体" w:cs="宋体"/>
          <w:szCs w:val="21"/>
          <w:highlight w:val="none"/>
        </w:rPr>
        <w:t>1.响应文件</w:t>
      </w:r>
      <w:bookmarkEnd w:id="79"/>
      <w:bookmarkEnd w:id="80"/>
      <w:bookmarkEnd w:id="81"/>
      <w:bookmarkEnd w:id="82"/>
      <w:r>
        <w:rPr>
          <w:rFonts w:hint="eastAsia" w:ascii="宋体" w:hAnsi="宋体" w:cs="宋体"/>
          <w:szCs w:val="21"/>
          <w:highlight w:val="none"/>
        </w:rPr>
        <w:t>的提交</w:t>
      </w:r>
    </w:p>
    <w:p w14:paraId="156A2213">
      <w:pPr>
        <w:spacing w:line="360" w:lineRule="auto"/>
        <w:ind w:firstLine="480"/>
        <w:rPr>
          <w:rFonts w:hint="eastAsia" w:ascii="宋体" w:hAnsi="宋体" w:cs="宋体"/>
          <w:szCs w:val="21"/>
          <w:highlight w:val="none"/>
        </w:rPr>
      </w:pPr>
      <w:r>
        <w:rPr>
          <w:rFonts w:hint="eastAsia" w:ascii="宋体" w:hAnsi="宋体" w:cs="宋体"/>
          <w:szCs w:val="21"/>
          <w:highlight w:val="none"/>
        </w:rPr>
        <w:t>线上提交与接收地点：供应商应当通过“苏采云”系统提交数据电文形式的响应文件（即电子投标），“苏采云”系统自动接收。</w:t>
      </w:r>
    </w:p>
    <w:p w14:paraId="23A9F9F0">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4AE62728">
      <w:pPr>
        <w:spacing w:line="360" w:lineRule="auto"/>
        <w:ind w:firstLine="480"/>
        <w:rPr>
          <w:rFonts w:hint="eastAsia" w:ascii="宋体" w:hAnsi="宋体" w:cs="宋体"/>
          <w:szCs w:val="21"/>
          <w:highlight w:val="none"/>
        </w:rPr>
      </w:pPr>
      <w:r>
        <w:rPr>
          <w:rFonts w:hint="eastAsia" w:ascii="宋体" w:hAnsi="宋体" w:cs="宋体"/>
          <w:szCs w:val="21"/>
          <w:highlight w:val="none"/>
        </w:rPr>
        <w:t>2.提交响应文件截止日期</w:t>
      </w:r>
    </w:p>
    <w:p w14:paraId="7A79017E">
      <w:pPr>
        <w:spacing w:line="360" w:lineRule="auto"/>
        <w:ind w:firstLine="480"/>
        <w:rPr>
          <w:rFonts w:hint="eastAsia" w:ascii="宋体" w:hAnsi="宋体" w:cs="宋体"/>
          <w:szCs w:val="21"/>
          <w:highlight w:val="none"/>
        </w:rPr>
      </w:pPr>
      <w:r>
        <w:rPr>
          <w:rFonts w:hint="eastAsia" w:ascii="宋体" w:hAnsi="宋体" w:cs="宋体"/>
          <w:szCs w:val="21"/>
          <w:highlight w:val="none"/>
        </w:rPr>
        <w:t>2.1供应商上传电子响应文件的时间不得迟于竞争性磋商公告中规定的响应文件提交截止时间。</w:t>
      </w:r>
    </w:p>
    <w:p w14:paraId="0F3B486C">
      <w:pPr>
        <w:spacing w:line="360" w:lineRule="auto"/>
        <w:ind w:firstLine="480"/>
        <w:rPr>
          <w:rFonts w:hint="eastAsia" w:ascii="宋体" w:hAnsi="宋体" w:cs="宋体"/>
          <w:szCs w:val="21"/>
          <w:highlight w:val="none"/>
        </w:rPr>
      </w:pPr>
      <w:r>
        <w:rPr>
          <w:rFonts w:hint="eastAsia" w:ascii="宋体" w:hAnsi="宋体" w:cs="宋体"/>
          <w:szCs w:val="21"/>
          <w:highlight w:val="none"/>
        </w:rPr>
        <w:t>供应商应充分考虑网络环境、网络带宽等风险因素，如因供应商自身原因造成的电子响应文件上传不成功由供应商自行承担全部责任。</w:t>
      </w:r>
    </w:p>
    <w:p w14:paraId="7055FE45">
      <w:pPr>
        <w:spacing w:line="360" w:lineRule="auto"/>
        <w:ind w:firstLine="480"/>
        <w:rPr>
          <w:rFonts w:hint="eastAsia" w:ascii="宋体" w:hAnsi="宋体" w:cs="宋体"/>
          <w:szCs w:val="21"/>
          <w:highlight w:val="none"/>
        </w:rPr>
      </w:pPr>
      <w:r>
        <w:rPr>
          <w:rFonts w:hint="eastAsia" w:ascii="宋体" w:hAnsi="宋体" w:cs="宋体"/>
          <w:szCs w:val="21"/>
          <w:highlight w:val="none"/>
        </w:rPr>
        <w:t>2.2采购人或采购代理机构可以按照规定，通过修改响应文件酌情延长响应文件提交截止日期，在此情况下，供应商的所有权利和义务以及供应商受制的截止日期均应以延长后新的截止日期为准。</w:t>
      </w:r>
    </w:p>
    <w:p w14:paraId="2E088F42">
      <w:pPr>
        <w:spacing w:line="360" w:lineRule="auto"/>
        <w:ind w:firstLine="480"/>
        <w:rPr>
          <w:rFonts w:hint="eastAsia" w:ascii="宋体" w:hAnsi="宋体" w:cs="宋体"/>
          <w:szCs w:val="21"/>
          <w:highlight w:val="none"/>
        </w:rPr>
      </w:pPr>
      <w:r>
        <w:rPr>
          <w:rFonts w:hint="eastAsia" w:ascii="宋体" w:hAnsi="宋体" w:cs="宋体"/>
          <w:szCs w:val="21"/>
          <w:highlight w:val="none"/>
        </w:rPr>
        <w:t>3.响应文件的密封（加密）要求：</w:t>
      </w:r>
    </w:p>
    <w:p w14:paraId="196CA9ED">
      <w:pPr>
        <w:spacing w:line="360" w:lineRule="auto"/>
        <w:ind w:firstLine="480"/>
        <w:rPr>
          <w:rFonts w:hint="eastAsia" w:ascii="宋体" w:hAnsi="宋体" w:cs="宋体"/>
          <w:szCs w:val="21"/>
          <w:highlight w:val="none"/>
        </w:rPr>
      </w:pPr>
      <w:r>
        <w:rPr>
          <w:rFonts w:hint="eastAsia" w:ascii="宋体" w:hAnsi="宋体" w:cs="宋体"/>
          <w:szCs w:val="21"/>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78BF9F7E">
      <w:pPr>
        <w:spacing w:line="360" w:lineRule="auto"/>
        <w:ind w:firstLine="480"/>
        <w:rPr>
          <w:rFonts w:hint="eastAsia" w:ascii="宋体" w:hAnsi="宋体" w:cs="宋体"/>
          <w:szCs w:val="21"/>
          <w:highlight w:val="none"/>
        </w:rPr>
      </w:pPr>
      <w:r>
        <w:rPr>
          <w:rFonts w:hint="eastAsia" w:ascii="宋体" w:hAnsi="宋体" w:cs="宋体"/>
          <w:szCs w:val="21"/>
          <w:highlight w:val="none"/>
        </w:rPr>
        <w:t>3.2供应商须通过“苏采云”系统提供的政府采购客户端工具（使用“CA数字证书”）加盖电子签章。</w:t>
      </w:r>
    </w:p>
    <w:p w14:paraId="6A56A007">
      <w:pPr>
        <w:spacing w:line="360" w:lineRule="auto"/>
        <w:ind w:firstLine="480"/>
        <w:rPr>
          <w:rFonts w:hint="eastAsia" w:ascii="宋体" w:hAnsi="宋体" w:cs="宋体"/>
          <w:szCs w:val="21"/>
          <w:highlight w:val="none"/>
        </w:rPr>
      </w:pPr>
      <w:r>
        <w:rPr>
          <w:rFonts w:hint="eastAsia" w:ascii="宋体" w:hAnsi="宋体" w:cs="宋体"/>
          <w:szCs w:val="21"/>
          <w:highlight w:val="none"/>
        </w:rPr>
        <w:t>说明：供应商应使用CA数字证书以及自备的能够登录“苏采云”系统的电脑，在达到开标时间后，使用CA数字证书解密各自响应文件。</w:t>
      </w:r>
    </w:p>
    <w:p w14:paraId="1846251B">
      <w:pPr>
        <w:spacing w:line="360" w:lineRule="auto"/>
        <w:ind w:firstLine="480"/>
        <w:rPr>
          <w:rFonts w:hint="eastAsia" w:ascii="宋体" w:hAnsi="宋体" w:cs="宋体"/>
          <w:szCs w:val="21"/>
          <w:highlight w:val="none"/>
        </w:rPr>
      </w:pPr>
      <w:r>
        <w:rPr>
          <w:rFonts w:hint="eastAsia" w:ascii="宋体" w:hAnsi="宋体" w:cs="宋体"/>
          <w:szCs w:val="21"/>
          <w:highlight w:val="none"/>
        </w:rPr>
        <w:t>3.3供应商未按规定加密的响应文件，“苏采云”系统将拒收并提示。</w:t>
      </w:r>
    </w:p>
    <w:p w14:paraId="560A3A40">
      <w:pPr>
        <w:spacing w:line="360" w:lineRule="auto"/>
        <w:ind w:firstLine="480"/>
        <w:rPr>
          <w:rFonts w:hint="eastAsia" w:ascii="宋体" w:hAnsi="宋体" w:cs="宋体"/>
          <w:szCs w:val="21"/>
          <w:highlight w:val="none"/>
        </w:rPr>
      </w:pPr>
      <w:r>
        <w:rPr>
          <w:rFonts w:hint="eastAsia" w:ascii="宋体" w:hAnsi="宋体" w:cs="宋体"/>
          <w:szCs w:val="21"/>
          <w:highlight w:val="none"/>
        </w:rPr>
        <w:t>4.响应文件的拒收</w:t>
      </w:r>
    </w:p>
    <w:p w14:paraId="616980FD">
      <w:pPr>
        <w:spacing w:line="360" w:lineRule="auto"/>
        <w:ind w:firstLine="480"/>
        <w:rPr>
          <w:rFonts w:hint="eastAsia" w:ascii="宋体" w:hAnsi="宋体" w:cs="宋体"/>
          <w:szCs w:val="21"/>
          <w:highlight w:val="none"/>
        </w:rPr>
      </w:pPr>
      <w:r>
        <w:rPr>
          <w:rFonts w:hint="eastAsia" w:ascii="宋体" w:hAnsi="宋体" w:cs="宋体"/>
          <w:szCs w:val="21"/>
          <w:highlight w:val="none"/>
        </w:rPr>
        <w:t>“苏采云”系统拒绝接收在规定的响应文件提交截止时间后上传的任何响应文件。</w:t>
      </w:r>
    </w:p>
    <w:p w14:paraId="27865EA6">
      <w:pPr>
        <w:spacing w:line="360" w:lineRule="auto"/>
        <w:ind w:firstLine="480"/>
        <w:rPr>
          <w:rFonts w:hint="eastAsia" w:ascii="宋体" w:hAnsi="宋体" w:cs="宋体"/>
          <w:szCs w:val="21"/>
          <w:highlight w:val="none"/>
        </w:rPr>
      </w:pPr>
      <w:r>
        <w:rPr>
          <w:rFonts w:hint="eastAsia" w:ascii="宋体" w:hAnsi="宋体" w:cs="宋体"/>
          <w:szCs w:val="21"/>
          <w:highlight w:val="none"/>
        </w:rPr>
        <w:t>5.响应文件的撤回和修改</w:t>
      </w:r>
    </w:p>
    <w:p w14:paraId="68E9DFFE">
      <w:pPr>
        <w:spacing w:line="360" w:lineRule="auto"/>
        <w:ind w:firstLine="480"/>
        <w:rPr>
          <w:rFonts w:hint="eastAsia" w:ascii="宋体" w:hAnsi="宋体" w:cs="宋体"/>
          <w:szCs w:val="21"/>
          <w:highlight w:val="none"/>
        </w:rPr>
      </w:pPr>
      <w:r>
        <w:rPr>
          <w:rFonts w:hint="eastAsia" w:ascii="宋体" w:hAnsi="宋体" w:cs="宋体"/>
          <w:szCs w:val="21"/>
          <w:highlight w:val="none"/>
        </w:rPr>
        <w:t>5.1响应文件的撤回</w:t>
      </w:r>
    </w:p>
    <w:p w14:paraId="6F42FD5F">
      <w:pPr>
        <w:spacing w:line="360" w:lineRule="auto"/>
        <w:ind w:firstLine="480"/>
        <w:rPr>
          <w:rFonts w:hint="eastAsia" w:ascii="宋体" w:hAnsi="宋体" w:cs="宋体"/>
          <w:szCs w:val="21"/>
          <w:highlight w:val="none"/>
        </w:rPr>
      </w:pPr>
      <w:r>
        <w:rPr>
          <w:rFonts w:hint="eastAsia" w:ascii="宋体" w:hAnsi="宋体" w:cs="宋体"/>
          <w:szCs w:val="21"/>
          <w:highlight w:val="none"/>
        </w:rPr>
        <w:t>5.1.1电子响应文件的撤回</w:t>
      </w:r>
    </w:p>
    <w:p w14:paraId="77FF0724">
      <w:pPr>
        <w:spacing w:line="360" w:lineRule="auto"/>
        <w:ind w:firstLine="480"/>
        <w:rPr>
          <w:rFonts w:hint="eastAsia" w:ascii="宋体" w:hAnsi="宋体" w:cs="宋体"/>
          <w:szCs w:val="21"/>
          <w:highlight w:val="none"/>
        </w:rPr>
      </w:pPr>
      <w:r>
        <w:rPr>
          <w:rFonts w:hint="eastAsia" w:ascii="宋体" w:hAnsi="宋体" w:cs="宋体"/>
          <w:szCs w:val="21"/>
          <w:highlight w:val="none"/>
        </w:rPr>
        <w:t>供应商可在响应文件提交截止时间前，撤回其电子响应文件，具体操作方法见“苏采云”系统供应商操作手册。</w:t>
      </w:r>
    </w:p>
    <w:p w14:paraId="0DC1E3FF">
      <w:pPr>
        <w:spacing w:line="360" w:lineRule="auto"/>
        <w:ind w:firstLine="480"/>
        <w:rPr>
          <w:rFonts w:hint="eastAsia" w:ascii="宋体" w:hAnsi="宋体" w:cs="宋体"/>
          <w:szCs w:val="21"/>
          <w:highlight w:val="none"/>
        </w:rPr>
      </w:pPr>
      <w:r>
        <w:rPr>
          <w:rFonts w:hint="eastAsia" w:ascii="宋体" w:hAnsi="宋体" w:cs="宋体"/>
          <w:szCs w:val="21"/>
          <w:highlight w:val="none"/>
        </w:rPr>
        <w:t>5.1.2供应商撤回电子响应文件，则认为其不再参与本项目竞争性磋商活动。</w:t>
      </w:r>
    </w:p>
    <w:p w14:paraId="6254611C">
      <w:pPr>
        <w:spacing w:line="360" w:lineRule="auto"/>
        <w:ind w:firstLine="480"/>
        <w:rPr>
          <w:rFonts w:hint="eastAsia" w:ascii="宋体" w:hAnsi="宋体" w:cs="宋体"/>
          <w:szCs w:val="21"/>
          <w:highlight w:val="none"/>
        </w:rPr>
      </w:pPr>
      <w:r>
        <w:rPr>
          <w:rFonts w:hint="eastAsia" w:ascii="宋体" w:hAnsi="宋体" w:cs="宋体"/>
          <w:szCs w:val="21"/>
          <w:highlight w:val="none"/>
        </w:rPr>
        <w:t>5.2响应文件的修改</w:t>
      </w:r>
    </w:p>
    <w:p w14:paraId="5A1E6735">
      <w:pPr>
        <w:spacing w:line="360" w:lineRule="auto"/>
        <w:ind w:firstLine="480"/>
        <w:rPr>
          <w:rFonts w:hint="eastAsia" w:ascii="宋体" w:hAnsi="宋体" w:cs="宋体"/>
          <w:szCs w:val="21"/>
          <w:highlight w:val="none"/>
        </w:rPr>
      </w:pPr>
      <w:r>
        <w:rPr>
          <w:rFonts w:hint="eastAsia" w:ascii="宋体" w:hAnsi="宋体" w:cs="宋体"/>
          <w:szCs w:val="21"/>
          <w:highlight w:val="none"/>
        </w:rPr>
        <w:t>供应商可在响应文件提交截止时间前，对其电子响应文件进行修改。具体操作方法见“苏采云”系统供应商操作手册。</w:t>
      </w:r>
    </w:p>
    <w:p w14:paraId="5B6A35A4">
      <w:pPr>
        <w:spacing w:line="360" w:lineRule="auto"/>
        <w:ind w:firstLine="480"/>
        <w:rPr>
          <w:rFonts w:hint="eastAsia" w:ascii="宋体" w:hAnsi="宋体" w:cs="宋体"/>
          <w:szCs w:val="21"/>
          <w:highlight w:val="none"/>
        </w:rPr>
      </w:pPr>
      <w:r>
        <w:rPr>
          <w:rFonts w:hint="eastAsia" w:ascii="宋体" w:hAnsi="宋体" w:cs="宋体"/>
          <w:szCs w:val="21"/>
          <w:highlight w:val="none"/>
        </w:rPr>
        <w:t>5.3在响应文件提交截止时间之后，供应商不得对其电子响应文件做任何修改。</w:t>
      </w:r>
    </w:p>
    <w:p w14:paraId="1498C92B">
      <w:pPr>
        <w:spacing w:line="360" w:lineRule="auto"/>
        <w:ind w:firstLine="480"/>
        <w:rPr>
          <w:rFonts w:hint="eastAsia" w:ascii="宋体" w:hAnsi="宋体" w:cs="宋体"/>
          <w:szCs w:val="21"/>
          <w:highlight w:val="none"/>
        </w:rPr>
      </w:pPr>
      <w:r>
        <w:rPr>
          <w:rFonts w:hint="eastAsia" w:ascii="宋体" w:hAnsi="宋体" w:cs="宋体"/>
          <w:szCs w:val="21"/>
          <w:highlight w:val="none"/>
        </w:rPr>
        <w:t>5.4在响应文件提交截止时间至磋商文件中规定的磋商响应有效期满之间的这段时间内，供应商不得撤回其响应文件。</w:t>
      </w:r>
    </w:p>
    <w:p w14:paraId="446A4260">
      <w:pPr>
        <w:spacing w:line="360" w:lineRule="auto"/>
        <w:ind w:firstLine="482"/>
        <w:rPr>
          <w:rFonts w:hint="eastAsia" w:ascii="宋体" w:hAnsi="宋体" w:cs="宋体"/>
          <w:b/>
          <w:szCs w:val="21"/>
          <w:highlight w:val="none"/>
        </w:rPr>
      </w:pPr>
      <w:r>
        <w:rPr>
          <w:rFonts w:hint="eastAsia" w:ascii="宋体" w:hAnsi="宋体" w:cs="宋体"/>
          <w:b/>
          <w:szCs w:val="21"/>
          <w:highlight w:val="none"/>
        </w:rPr>
        <w:t>五</w:t>
      </w:r>
      <w:bookmarkEnd w:id="83"/>
      <w:bookmarkEnd w:id="84"/>
      <w:bookmarkEnd w:id="85"/>
      <w:bookmarkEnd w:id="86"/>
      <w:bookmarkStart w:id="87" w:name="_Toc513029230"/>
      <w:bookmarkStart w:id="88" w:name="_Toc16938546"/>
      <w:bookmarkStart w:id="89" w:name="_Toc20823302"/>
      <w:r>
        <w:rPr>
          <w:rFonts w:hint="eastAsia" w:ascii="宋体" w:hAnsi="宋体" w:cs="宋体"/>
          <w:b/>
          <w:szCs w:val="21"/>
          <w:highlight w:val="none"/>
        </w:rPr>
        <w:t>、磋商与评审</w:t>
      </w:r>
    </w:p>
    <w:p w14:paraId="3B8128DA">
      <w:pPr>
        <w:spacing w:line="360" w:lineRule="auto"/>
        <w:ind w:firstLine="480"/>
        <w:rPr>
          <w:rFonts w:hint="eastAsia" w:ascii="宋体" w:hAnsi="宋体" w:cs="宋体"/>
          <w:szCs w:val="21"/>
          <w:highlight w:val="none"/>
        </w:rPr>
      </w:pPr>
      <w:r>
        <w:rPr>
          <w:rFonts w:hint="eastAsia" w:ascii="宋体" w:hAnsi="宋体" w:cs="宋体"/>
          <w:szCs w:val="21"/>
          <w:highlight w:val="none"/>
        </w:rPr>
        <w:t>1.磋商仪式</w:t>
      </w:r>
    </w:p>
    <w:p w14:paraId="65091413">
      <w:pPr>
        <w:spacing w:line="360" w:lineRule="auto"/>
        <w:ind w:firstLine="480"/>
        <w:rPr>
          <w:rFonts w:hint="eastAsia" w:ascii="宋体" w:hAnsi="宋体" w:cs="宋体"/>
          <w:szCs w:val="21"/>
          <w:highlight w:val="none"/>
        </w:rPr>
      </w:pPr>
      <w:r>
        <w:rPr>
          <w:rFonts w:hint="eastAsia" w:ascii="宋体" w:hAnsi="宋体" w:cs="宋体"/>
          <w:szCs w:val="21"/>
          <w:highlight w:val="none"/>
        </w:rPr>
        <w:t>1.1采购人或采购代理机构将在磋商公告中规定的时间和地点组织磋商开始仪式。</w:t>
      </w:r>
    </w:p>
    <w:p w14:paraId="285417C9">
      <w:pPr>
        <w:spacing w:line="360" w:lineRule="auto"/>
        <w:ind w:firstLine="482"/>
        <w:rPr>
          <w:rFonts w:hint="eastAsia" w:ascii="宋体" w:hAnsi="宋体" w:cs="宋体"/>
          <w:b/>
          <w:szCs w:val="21"/>
          <w:highlight w:val="none"/>
        </w:rPr>
      </w:pPr>
      <w:r>
        <w:rPr>
          <w:rFonts w:hint="eastAsia" w:ascii="宋体" w:hAnsi="宋体" w:cs="宋体"/>
          <w:b/>
          <w:szCs w:val="21"/>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highlight w:val="none"/>
          <w:u w:val="single"/>
        </w:rPr>
        <w:t>30分钟</w:t>
      </w:r>
      <w:r>
        <w:rPr>
          <w:rFonts w:hint="eastAsia" w:ascii="宋体" w:hAnsi="宋体" w:cs="宋体"/>
          <w:b/>
          <w:szCs w:val="21"/>
          <w:highlight w:val="none"/>
        </w:rPr>
        <w:t>之内完成。</w:t>
      </w:r>
      <w:r>
        <w:rPr>
          <w:rFonts w:hint="eastAsia" w:ascii="宋体" w:hAnsi="宋体" w:cs="宋体"/>
          <w:b/>
          <w:szCs w:val="21"/>
          <w:highlight w:val="none"/>
          <w:u w:val="single"/>
        </w:rPr>
        <w:t>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w:t>
      </w:r>
      <w:r>
        <w:rPr>
          <w:rFonts w:hint="eastAsia" w:ascii="宋体" w:hAnsi="宋体" w:cs="宋体"/>
          <w:b/>
          <w:szCs w:val="21"/>
          <w:highlight w:val="none"/>
        </w:rPr>
        <w:t>因采购人（或采购代理机构）原因或网上招投标平台发生故障，导致无法按时完成响应文件解密或开、评标工作无法进行的，可根据实际情况相应延迟解密时间或调整开、评标时间。</w:t>
      </w:r>
    </w:p>
    <w:p w14:paraId="3D214FAA">
      <w:pPr>
        <w:spacing w:line="360" w:lineRule="auto"/>
        <w:ind w:firstLine="480"/>
        <w:rPr>
          <w:rFonts w:hint="eastAsia" w:ascii="宋体" w:hAnsi="宋体" w:cs="宋体"/>
          <w:szCs w:val="21"/>
          <w:highlight w:val="none"/>
        </w:rPr>
      </w:pPr>
      <w:r>
        <w:rPr>
          <w:rFonts w:hint="eastAsia" w:ascii="宋体" w:hAnsi="宋体" w:cs="宋体"/>
          <w:szCs w:val="21"/>
          <w:highlight w:val="none"/>
        </w:rPr>
        <w:t>1.2磋商活动的文件解密工作由采购代理机构组织。</w:t>
      </w:r>
    </w:p>
    <w:p w14:paraId="41F9F7D6">
      <w:pPr>
        <w:spacing w:line="360" w:lineRule="auto"/>
        <w:ind w:firstLine="482"/>
        <w:rPr>
          <w:rFonts w:hint="eastAsia" w:ascii="宋体" w:hAnsi="宋体" w:cs="宋体"/>
          <w:b/>
          <w:szCs w:val="21"/>
          <w:highlight w:val="none"/>
        </w:rPr>
      </w:pPr>
      <w:r>
        <w:rPr>
          <w:rFonts w:hint="eastAsia" w:ascii="宋体" w:hAnsi="宋体" w:cs="宋体"/>
          <w:b/>
          <w:szCs w:val="21"/>
          <w:highlight w:val="none"/>
        </w:rPr>
        <w:t>注：各供应商请关注开标大厅交流区，在开标结束后，请勿离开开标大厅，采购人或采购代理机构通知最后报价填报后，所有的响应供应商须在</w:t>
      </w:r>
      <w:r>
        <w:rPr>
          <w:rFonts w:hint="eastAsia" w:ascii="宋体" w:hAnsi="宋体" w:cs="宋体"/>
          <w:b/>
          <w:szCs w:val="21"/>
          <w:highlight w:val="none"/>
          <w:u w:val="single"/>
        </w:rPr>
        <w:t>15分钟</w:t>
      </w:r>
      <w:r>
        <w:rPr>
          <w:rFonts w:hint="eastAsia" w:ascii="宋体" w:hAnsi="宋体" w:cs="宋体"/>
          <w:b/>
          <w:szCs w:val="21"/>
          <w:highlight w:val="none"/>
        </w:rPr>
        <w:t>内填写并提交最后报价，未在规定时间内提交最后报价的，视作无效响应处理。</w:t>
      </w:r>
    </w:p>
    <w:p w14:paraId="2DA5A6BC">
      <w:pPr>
        <w:spacing w:line="360" w:lineRule="auto"/>
        <w:ind w:firstLine="480"/>
        <w:rPr>
          <w:rFonts w:hint="eastAsia" w:ascii="宋体" w:hAnsi="宋体" w:cs="宋体"/>
          <w:szCs w:val="21"/>
          <w:highlight w:val="none"/>
        </w:rPr>
      </w:pPr>
      <w:r>
        <w:rPr>
          <w:rFonts w:hint="eastAsia" w:ascii="宋体" w:hAnsi="宋体" w:cs="宋体"/>
          <w:szCs w:val="21"/>
          <w:highlight w:val="none"/>
        </w:rPr>
        <w:t>2.磋商小组</w:t>
      </w:r>
    </w:p>
    <w:p w14:paraId="46FA338B">
      <w:pPr>
        <w:spacing w:line="360" w:lineRule="auto"/>
        <w:ind w:firstLine="480"/>
        <w:rPr>
          <w:rFonts w:hint="eastAsia" w:ascii="宋体" w:hAnsi="宋体" w:cs="宋体"/>
          <w:szCs w:val="21"/>
          <w:highlight w:val="none"/>
        </w:rPr>
      </w:pPr>
      <w:r>
        <w:rPr>
          <w:rFonts w:hint="eastAsia" w:ascii="宋体" w:hAnsi="宋体" w:cs="宋体"/>
          <w:szCs w:val="21"/>
          <w:highlight w:val="none"/>
        </w:rPr>
        <w:t>2.1磋商开始仪式结束后，采购人或采购代理机构将立即组织磋商小组进行评审。</w:t>
      </w:r>
    </w:p>
    <w:p w14:paraId="07982CA6">
      <w:pPr>
        <w:spacing w:line="360" w:lineRule="auto"/>
        <w:ind w:firstLine="480"/>
        <w:rPr>
          <w:rFonts w:hint="eastAsia" w:ascii="宋体" w:hAnsi="宋体" w:cs="宋体"/>
          <w:szCs w:val="21"/>
          <w:highlight w:val="none"/>
        </w:rPr>
      </w:pPr>
      <w:r>
        <w:rPr>
          <w:rFonts w:hint="eastAsia" w:ascii="宋体" w:hAnsi="宋体" w:cs="宋体"/>
          <w:szCs w:val="21"/>
          <w:highlight w:val="none"/>
        </w:rPr>
        <w:t>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p>
    <w:p w14:paraId="73F584EA">
      <w:pPr>
        <w:spacing w:line="360" w:lineRule="auto"/>
        <w:ind w:firstLine="480"/>
        <w:rPr>
          <w:rFonts w:hint="eastAsia" w:ascii="宋体" w:hAnsi="宋体" w:cs="宋体"/>
          <w:szCs w:val="21"/>
          <w:highlight w:val="none"/>
        </w:rPr>
      </w:pPr>
      <w:r>
        <w:rPr>
          <w:rFonts w:hint="eastAsia" w:ascii="宋体" w:hAnsi="宋体" w:cs="宋体"/>
          <w:szCs w:val="21"/>
          <w:highlight w:val="none"/>
        </w:rPr>
        <w:t>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highlight w:val="none"/>
        </w:rPr>
        <w:t>自行选定评审专家。技术</w:t>
      </w:r>
      <w:r>
        <w:rPr>
          <w:rFonts w:hint="eastAsia" w:cs="宋体"/>
          <w:szCs w:val="21"/>
          <w:highlight w:val="none"/>
        </w:rPr>
        <w:t>复杂</w:t>
      </w:r>
      <w:r>
        <w:rPr>
          <w:rFonts w:hint="eastAsia"/>
          <w:szCs w:val="21"/>
          <w:highlight w:val="none"/>
        </w:rPr>
        <w:t>、专业性强的竞</w:t>
      </w:r>
      <w:r>
        <w:rPr>
          <w:rFonts w:hint="eastAsia" w:ascii="宋体" w:hAnsi="宋体" w:cs="宋体"/>
          <w:szCs w:val="21"/>
          <w:highlight w:val="none"/>
        </w:rPr>
        <w:t>争性磋商采购项目，评审专家中应当包含1名法律专家。</w:t>
      </w:r>
    </w:p>
    <w:p w14:paraId="2CF8F015">
      <w:pPr>
        <w:spacing w:line="360" w:lineRule="auto"/>
        <w:ind w:firstLine="480"/>
        <w:rPr>
          <w:rFonts w:hint="eastAsia" w:ascii="宋体" w:hAnsi="宋体" w:cs="宋体"/>
          <w:szCs w:val="21"/>
          <w:highlight w:val="none"/>
        </w:rPr>
      </w:pPr>
      <w:r>
        <w:rPr>
          <w:rFonts w:hint="eastAsia" w:ascii="宋体" w:hAnsi="宋体" w:cs="宋体"/>
          <w:szCs w:val="21"/>
          <w:highlight w:val="none"/>
        </w:rPr>
        <w:t>2.4磋商小组独立工作，负责评审所有响应文件并确定成交候选人。</w:t>
      </w:r>
    </w:p>
    <w:p w14:paraId="651F1ED5">
      <w:pPr>
        <w:spacing w:line="360" w:lineRule="auto"/>
        <w:ind w:firstLine="480"/>
        <w:rPr>
          <w:rFonts w:hint="eastAsia" w:ascii="宋体" w:hAnsi="宋体" w:cs="宋体"/>
          <w:szCs w:val="21"/>
          <w:highlight w:val="none"/>
        </w:rPr>
      </w:pPr>
      <w:r>
        <w:rPr>
          <w:rFonts w:hint="eastAsia" w:ascii="宋体" w:hAnsi="宋体" w:cs="宋体"/>
          <w:szCs w:val="21"/>
          <w:highlight w:val="none"/>
        </w:rPr>
        <w:t>3.磋商评审过程的保密与公正</w:t>
      </w:r>
    </w:p>
    <w:p w14:paraId="75EEBCF9">
      <w:pPr>
        <w:spacing w:line="360" w:lineRule="auto"/>
        <w:ind w:firstLine="480"/>
        <w:rPr>
          <w:rFonts w:hint="eastAsia" w:ascii="宋体" w:hAnsi="宋体" w:cs="宋体"/>
          <w:szCs w:val="21"/>
          <w:highlight w:val="none"/>
        </w:rPr>
      </w:pPr>
      <w:r>
        <w:rPr>
          <w:rFonts w:hint="eastAsia" w:ascii="宋体" w:hAnsi="宋体" w:cs="宋体"/>
          <w:szCs w:val="21"/>
          <w:highlight w:val="none"/>
        </w:rPr>
        <w:t>3.1磋商小组、采购人或采购代理机构、相关监督人员等与评审工作有关的人员，对评审情况以及在评审过程中获悉的国家秘密、商业秘密负有保密责任。</w:t>
      </w:r>
    </w:p>
    <w:p w14:paraId="62D4965D">
      <w:pPr>
        <w:spacing w:line="360" w:lineRule="auto"/>
        <w:ind w:firstLine="480"/>
        <w:rPr>
          <w:rFonts w:hint="eastAsia" w:ascii="宋体" w:hAnsi="宋体" w:cs="宋体"/>
          <w:szCs w:val="21"/>
          <w:highlight w:val="none"/>
        </w:rPr>
      </w:pPr>
      <w:r>
        <w:rPr>
          <w:rFonts w:hint="eastAsia" w:ascii="宋体" w:hAnsi="宋体" w:cs="宋体"/>
          <w:szCs w:val="21"/>
          <w:highlight w:val="none"/>
        </w:rPr>
        <w:t>3.2在磋商评审过程中，磋商供应商不得以任何行为影响磋商评审过程，否则其响应文件将被视为无效响应文件。</w:t>
      </w:r>
    </w:p>
    <w:p w14:paraId="10995C02">
      <w:pPr>
        <w:spacing w:line="360" w:lineRule="auto"/>
        <w:ind w:firstLine="480"/>
        <w:rPr>
          <w:rFonts w:hint="eastAsia" w:ascii="宋体" w:hAnsi="宋体" w:cs="宋体"/>
          <w:szCs w:val="21"/>
          <w:highlight w:val="none"/>
        </w:rPr>
      </w:pPr>
      <w:r>
        <w:rPr>
          <w:rFonts w:hint="eastAsia" w:ascii="宋体" w:hAnsi="宋体" w:cs="宋体"/>
          <w:szCs w:val="21"/>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66B739E">
      <w:pPr>
        <w:spacing w:line="360" w:lineRule="auto"/>
        <w:ind w:firstLine="480"/>
        <w:rPr>
          <w:rFonts w:hint="eastAsia" w:ascii="宋体" w:hAnsi="宋体" w:cs="宋体"/>
          <w:szCs w:val="21"/>
          <w:highlight w:val="none"/>
        </w:rPr>
      </w:pPr>
      <w:r>
        <w:rPr>
          <w:rFonts w:hint="eastAsia" w:ascii="宋体" w:hAnsi="宋体" w:cs="宋体"/>
          <w:szCs w:val="21"/>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433F6BC2">
      <w:pPr>
        <w:spacing w:line="360" w:lineRule="auto"/>
        <w:ind w:firstLine="480"/>
        <w:rPr>
          <w:rFonts w:hint="eastAsia" w:ascii="宋体" w:hAnsi="宋体" w:cs="宋体"/>
          <w:szCs w:val="21"/>
          <w:highlight w:val="none"/>
        </w:rPr>
      </w:pPr>
      <w:r>
        <w:rPr>
          <w:rFonts w:hint="eastAsia" w:ascii="宋体" w:hAnsi="宋体" w:cs="宋体"/>
          <w:szCs w:val="21"/>
          <w:highlight w:val="none"/>
        </w:rPr>
        <w:t>3.5在评审期间，采购人或采购代理机构将设立专门人员与供应商联系。</w:t>
      </w:r>
    </w:p>
    <w:p w14:paraId="7315D8E0">
      <w:pPr>
        <w:spacing w:line="360" w:lineRule="auto"/>
        <w:ind w:firstLine="480"/>
        <w:rPr>
          <w:rFonts w:hint="eastAsia" w:ascii="宋体" w:hAnsi="宋体" w:cs="宋体"/>
          <w:szCs w:val="21"/>
          <w:highlight w:val="none"/>
        </w:rPr>
      </w:pPr>
      <w:r>
        <w:rPr>
          <w:rFonts w:hint="eastAsia" w:ascii="宋体" w:hAnsi="宋体" w:cs="宋体"/>
          <w:szCs w:val="21"/>
          <w:highlight w:val="none"/>
        </w:rPr>
        <w:t>3.6采购人、采购代理机构和磋商小组不向未成交的供应商解释未成交原因，也不公布评审过程中的相关细节。</w:t>
      </w:r>
    </w:p>
    <w:bookmarkEnd w:id="38"/>
    <w:bookmarkEnd w:id="39"/>
    <w:bookmarkEnd w:id="40"/>
    <w:bookmarkEnd w:id="87"/>
    <w:bookmarkEnd w:id="88"/>
    <w:bookmarkEnd w:id="89"/>
    <w:p w14:paraId="282DFCB1">
      <w:pPr>
        <w:spacing w:line="360" w:lineRule="auto"/>
        <w:ind w:firstLine="480"/>
        <w:rPr>
          <w:rFonts w:hint="eastAsia" w:ascii="宋体" w:hAnsi="宋体" w:cs="宋体"/>
          <w:szCs w:val="21"/>
          <w:highlight w:val="none"/>
        </w:rPr>
      </w:pPr>
      <w:bookmarkStart w:id="90" w:name="_Toc86268901"/>
      <w:r>
        <w:rPr>
          <w:rFonts w:hint="eastAsia" w:ascii="宋体" w:hAnsi="宋体" w:cs="宋体"/>
          <w:szCs w:val="21"/>
          <w:highlight w:val="none"/>
        </w:rPr>
        <w:t>4.评审过程的澄清</w:t>
      </w:r>
    </w:p>
    <w:p w14:paraId="0743DAC3">
      <w:pPr>
        <w:spacing w:line="360" w:lineRule="auto"/>
        <w:ind w:firstLine="480"/>
        <w:rPr>
          <w:rFonts w:hint="eastAsia" w:ascii="宋体" w:hAnsi="宋体" w:cs="宋体"/>
          <w:szCs w:val="21"/>
          <w:highlight w:val="none"/>
          <w:lang w:val="zh-CN"/>
        </w:rPr>
      </w:pPr>
      <w:r>
        <w:rPr>
          <w:rFonts w:hint="eastAsia" w:ascii="宋体" w:hAnsi="宋体" w:cs="宋体"/>
          <w:szCs w:val="21"/>
          <w:highlight w:val="none"/>
        </w:rPr>
        <w:t>4.1</w:t>
      </w:r>
      <w:r>
        <w:rPr>
          <w:rFonts w:hint="eastAsia" w:ascii="宋体" w:hAnsi="宋体" w:cs="宋体"/>
          <w:szCs w:val="21"/>
          <w:highlight w:val="none"/>
          <w:lang w:val="zh-CN"/>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p>
    <w:p w14:paraId="512C10C1">
      <w:pPr>
        <w:spacing w:line="360" w:lineRule="auto"/>
        <w:ind w:firstLine="480"/>
        <w:rPr>
          <w:rFonts w:hint="eastAsia" w:ascii="宋体" w:hAnsi="宋体" w:cs="宋体"/>
          <w:szCs w:val="21"/>
          <w:highlight w:val="none"/>
          <w:lang w:val="zh-CN"/>
        </w:rPr>
      </w:pPr>
      <w:r>
        <w:rPr>
          <w:rFonts w:hint="eastAsia" w:ascii="宋体" w:hAnsi="宋体" w:cs="宋体"/>
          <w:szCs w:val="21"/>
          <w:highlight w:val="none"/>
        </w:rPr>
        <w:t>4.2</w:t>
      </w:r>
      <w:r>
        <w:rPr>
          <w:rFonts w:hint="eastAsia" w:ascii="宋体" w:hAnsi="宋体" w:cs="宋体"/>
          <w:szCs w:val="21"/>
          <w:highlight w:val="none"/>
          <w:lang w:val="zh-CN"/>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228B9282">
      <w:pPr>
        <w:spacing w:line="360" w:lineRule="auto"/>
        <w:ind w:firstLine="480"/>
        <w:rPr>
          <w:rFonts w:hint="eastAsia" w:ascii="宋体" w:hAnsi="宋体" w:cs="宋体"/>
          <w:szCs w:val="21"/>
          <w:highlight w:val="none"/>
        </w:rPr>
      </w:pPr>
      <w:r>
        <w:rPr>
          <w:rFonts w:hint="eastAsia" w:ascii="宋体" w:hAnsi="宋体" w:cs="宋体"/>
          <w:szCs w:val="21"/>
          <w:highlight w:val="none"/>
        </w:rPr>
        <w:t>4.3接到磋商小组</w:t>
      </w:r>
      <w:r>
        <w:rPr>
          <w:rFonts w:hint="eastAsia" w:ascii="宋体" w:hAnsi="宋体" w:cs="宋体"/>
          <w:szCs w:val="21"/>
          <w:highlight w:val="none"/>
          <w:lang w:val="zh-CN"/>
        </w:rPr>
        <w:t>澄清、说明或更正</w:t>
      </w:r>
      <w:r>
        <w:rPr>
          <w:rFonts w:hint="eastAsia" w:ascii="宋体" w:hAnsi="宋体" w:cs="宋体"/>
          <w:szCs w:val="21"/>
          <w:highlight w:val="none"/>
        </w:rPr>
        <w:t>要求的供应商应按磋商小组规定的时间和格式做出</w:t>
      </w:r>
      <w:r>
        <w:rPr>
          <w:rFonts w:hint="eastAsia" w:ascii="宋体" w:hAnsi="宋体" w:cs="宋体"/>
          <w:szCs w:val="21"/>
          <w:highlight w:val="none"/>
          <w:lang w:val="zh-CN"/>
        </w:rPr>
        <w:t>澄清、说明或更正</w:t>
      </w:r>
      <w:r>
        <w:rPr>
          <w:rFonts w:hint="eastAsia" w:ascii="宋体" w:hAnsi="宋体" w:cs="宋体"/>
          <w:szCs w:val="21"/>
          <w:highlight w:val="none"/>
        </w:rPr>
        <w:t>，</w:t>
      </w:r>
      <w:r>
        <w:rPr>
          <w:rFonts w:hint="eastAsia" w:ascii="宋体" w:hAnsi="宋体" w:cs="宋体"/>
          <w:szCs w:val="21"/>
          <w:highlight w:val="none"/>
          <w:lang w:val="zh-CN"/>
        </w:rPr>
        <w:t>澄清、说明或更正</w:t>
      </w:r>
      <w:r>
        <w:rPr>
          <w:rFonts w:hint="eastAsia" w:ascii="宋体" w:hAnsi="宋体" w:cs="宋体"/>
          <w:szCs w:val="21"/>
          <w:highlight w:val="none"/>
        </w:rPr>
        <w:t>的内容作为响应文件的补充部分，但实质性的内容不得做任何更改。</w:t>
      </w:r>
    </w:p>
    <w:p w14:paraId="5F804943">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4.4接到磋商小组澄清、说明或更正要求的供应商如未按规定作出澄清、说明或更正的，其风险由供应商自行承担。</w:t>
      </w:r>
    </w:p>
    <w:p w14:paraId="5787667B">
      <w:pPr>
        <w:spacing w:line="360" w:lineRule="auto"/>
        <w:ind w:firstLine="480"/>
        <w:rPr>
          <w:rFonts w:hint="eastAsia" w:ascii="宋体" w:hAnsi="宋体" w:cs="宋体"/>
          <w:szCs w:val="21"/>
          <w:highlight w:val="none"/>
        </w:rPr>
      </w:pPr>
      <w:r>
        <w:rPr>
          <w:rFonts w:hint="eastAsia" w:ascii="宋体" w:hAnsi="宋体" w:cs="宋体"/>
          <w:szCs w:val="21"/>
          <w:highlight w:val="none"/>
        </w:rPr>
        <w:t>5.对响应文件的审查</w:t>
      </w:r>
    </w:p>
    <w:p w14:paraId="0073600B">
      <w:pPr>
        <w:spacing w:line="360" w:lineRule="auto"/>
        <w:ind w:firstLine="480"/>
        <w:rPr>
          <w:rFonts w:hint="eastAsia" w:ascii="宋体" w:hAnsi="宋体" w:cs="宋体"/>
          <w:szCs w:val="21"/>
          <w:highlight w:val="none"/>
        </w:rPr>
      </w:pPr>
      <w:r>
        <w:rPr>
          <w:rFonts w:hint="eastAsia" w:ascii="宋体" w:hAnsi="宋体" w:cs="宋体"/>
          <w:szCs w:val="21"/>
          <w:highlight w:val="none"/>
        </w:rPr>
        <w:t>5.1响应文件初审分为资格性审查和符合性审查。</w:t>
      </w:r>
    </w:p>
    <w:p w14:paraId="653833ED">
      <w:pPr>
        <w:spacing w:line="360" w:lineRule="auto"/>
        <w:ind w:firstLine="480"/>
        <w:rPr>
          <w:rFonts w:hint="eastAsia" w:ascii="宋体" w:hAnsi="宋体" w:cs="宋体"/>
          <w:szCs w:val="21"/>
          <w:highlight w:val="none"/>
          <w:lang w:val="zh-CN"/>
        </w:rPr>
      </w:pPr>
      <w:r>
        <w:rPr>
          <w:rFonts w:hint="eastAsia" w:ascii="宋体" w:hAnsi="宋体" w:cs="宋体"/>
          <w:szCs w:val="21"/>
          <w:highlight w:val="none"/>
        </w:rPr>
        <w:t>5.1.1资格性检查：</w:t>
      </w:r>
      <w:r>
        <w:rPr>
          <w:rFonts w:hint="eastAsia" w:ascii="宋体" w:hAnsi="宋体" w:cs="宋体"/>
          <w:szCs w:val="21"/>
          <w:highlight w:val="none"/>
          <w:lang w:val="zh-CN"/>
        </w:rPr>
        <w:t>依据法律法规和磋商文件的规定，由采购人对响应文件中的资格审查文件进行审查。</w:t>
      </w:r>
    </w:p>
    <w:p w14:paraId="382CF233">
      <w:pPr>
        <w:spacing w:line="360" w:lineRule="auto"/>
        <w:ind w:firstLine="480"/>
        <w:rPr>
          <w:rFonts w:hint="eastAsia" w:ascii="宋体" w:hAnsi="宋体" w:cs="宋体"/>
          <w:szCs w:val="21"/>
          <w:highlight w:val="none"/>
        </w:rPr>
      </w:pPr>
      <w:r>
        <w:rPr>
          <w:rFonts w:hint="eastAsia" w:ascii="宋体" w:hAnsi="宋体" w:cs="宋体"/>
          <w:szCs w:val="21"/>
          <w:highlight w:val="none"/>
        </w:rPr>
        <w:t>采购人在进行资格审查的同时，将在“信用中国”网站查询供应商的信用记录，以确定供应商是否具备磋商资格。</w:t>
      </w:r>
    </w:p>
    <w:p w14:paraId="2F54716F">
      <w:pPr>
        <w:spacing w:line="360" w:lineRule="auto"/>
        <w:ind w:firstLine="480"/>
        <w:rPr>
          <w:rFonts w:hint="eastAsia" w:ascii="宋体" w:hAnsi="宋体" w:cs="宋体"/>
          <w:szCs w:val="21"/>
          <w:highlight w:val="none"/>
        </w:rPr>
      </w:pPr>
      <w:r>
        <w:rPr>
          <w:rFonts w:hint="eastAsia" w:ascii="宋体" w:hAnsi="宋体" w:cs="宋体"/>
          <w:szCs w:val="21"/>
          <w:highlight w:val="none"/>
        </w:rPr>
        <w:t>5.1.2符合性审查：依据磋商文件的规定，由磋商小组从响应文件的有效性、完整性和对磋商文件的响应程度进行审查，以确定是否对磋商文件的实质性要求作出响应。</w:t>
      </w:r>
    </w:p>
    <w:p w14:paraId="5590802C">
      <w:pPr>
        <w:spacing w:line="360" w:lineRule="auto"/>
        <w:ind w:firstLine="480"/>
        <w:rPr>
          <w:rFonts w:hint="eastAsia" w:ascii="宋体" w:hAnsi="宋体" w:cs="宋体"/>
          <w:szCs w:val="21"/>
          <w:highlight w:val="none"/>
          <w:lang w:val="zh-CN"/>
        </w:rPr>
      </w:pPr>
      <w:r>
        <w:rPr>
          <w:rFonts w:hint="eastAsia" w:ascii="宋体" w:hAnsi="宋体" w:cs="宋体"/>
          <w:szCs w:val="21"/>
          <w:highlight w:val="none"/>
        </w:rPr>
        <w:t>5.1.3未通过资格审查或符合性审查的供应商，</w:t>
      </w:r>
      <w:r>
        <w:rPr>
          <w:rFonts w:hint="eastAsia" w:ascii="宋体" w:hAnsi="宋体" w:cs="宋体"/>
          <w:szCs w:val="21"/>
          <w:highlight w:val="none"/>
          <w:lang w:val="zh-CN"/>
        </w:rPr>
        <w:t xml:space="preserve">采购代理机构将在苏采云系统中告知未通过资格审查或符合性审查的原因，评审结束后，采购代理机构将不再告知未通过资格审查或符合性审查的原因。  </w:t>
      </w:r>
    </w:p>
    <w:p w14:paraId="2391F173">
      <w:pPr>
        <w:spacing w:line="360" w:lineRule="auto"/>
        <w:ind w:firstLine="480"/>
        <w:rPr>
          <w:rFonts w:hint="eastAsia" w:ascii="宋体" w:hAnsi="宋体" w:cs="宋体"/>
          <w:szCs w:val="21"/>
          <w:highlight w:val="none"/>
        </w:rPr>
      </w:pPr>
      <w:r>
        <w:rPr>
          <w:rFonts w:hint="eastAsia" w:ascii="宋体" w:hAnsi="宋体" w:cs="宋体"/>
          <w:szCs w:val="21"/>
          <w:highlight w:val="none"/>
        </w:rPr>
        <w:t>5.2</w:t>
      </w:r>
      <w:r>
        <w:rPr>
          <w:rFonts w:hint="eastAsia" w:ascii="宋体" w:hAnsi="宋体" w:cs="宋体"/>
          <w:szCs w:val="21"/>
          <w:highlight w:val="none"/>
          <w:lang w:val="zh-CN"/>
        </w:rPr>
        <w:t>在正式磋商之前</w:t>
      </w:r>
      <w:r>
        <w:rPr>
          <w:rFonts w:hint="eastAsia" w:ascii="宋体" w:hAnsi="宋体" w:cs="宋体"/>
          <w:szCs w:val="21"/>
          <w:highlight w:val="none"/>
        </w:rPr>
        <w:t>，磋商小组将首先审查每份响应文件是否实质性响应了磋商文件的要求。实质性响应的响应文件应该是与磋商文件要求的全部条款、条件和规格相符，没有重大负偏离或保留。</w:t>
      </w:r>
    </w:p>
    <w:p w14:paraId="30E89DF9">
      <w:pPr>
        <w:spacing w:line="360" w:lineRule="auto"/>
        <w:ind w:firstLine="480"/>
        <w:rPr>
          <w:rFonts w:hint="eastAsia" w:ascii="宋体" w:hAnsi="宋体" w:cs="宋体"/>
          <w:szCs w:val="21"/>
          <w:highlight w:val="none"/>
        </w:rPr>
      </w:pPr>
      <w:r>
        <w:rPr>
          <w:rFonts w:hint="eastAsia" w:ascii="宋体" w:hAnsi="宋体" w:cs="宋体"/>
          <w:szCs w:val="21"/>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7012116">
      <w:pPr>
        <w:spacing w:line="360" w:lineRule="auto"/>
        <w:ind w:firstLine="480"/>
        <w:rPr>
          <w:rFonts w:hint="eastAsia" w:ascii="宋体" w:hAnsi="宋体" w:cs="宋体"/>
          <w:szCs w:val="21"/>
          <w:highlight w:val="none"/>
        </w:rPr>
      </w:pPr>
      <w:r>
        <w:rPr>
          <w:rFonts w:hint="eastAsia" w:ascii="宋体" w:hAnsi="宋体" w:cs="宋体"/>
          <w:szCs w:val="21"/>
          <w:highlight w:val="none"/>
        </w:rPr>
        <w:t>5.3如果响应文件实质上没有响应磋商文件的要求，磋商小组将予以拒绝，供应商不得通过修改或撤销不符合要求的偏离或保留而使其响应文件成为实质性响应的文件。</w:t>
      </w:r>
    </w:p>
    <w:p w14:paraId="315F3BB5">
      <w:pPr>
        <w:spacing w:line="360" w:lineRule="auto"/>
        <w:ind w:firstLine="480"/>
        <w:rPr>
          <w:rFonts w:hint="eastAsia" w:ascii="宋体" w:hAnsi="宋体" w:cs="宋体"/>
          <w:szCs w:val="21"/>
          <w:highlight w:val="none"/>
        </w:rPr>
      </w:pPr>
      <w:r>
        <w:rPr>
          <w:rFonts w:hint="eastAsia" w:ascii="宋体" w:hAnsi="宋体" w:cs="宋体"/>
          <w:szCs w:val="21"/>
          <w:highlight w:val="none"/>
        </w:rPr>
        <w:t>5.4磋商小组将对确定为实质性响应的文件进行进一步审核，看其是否有计算上或累加上的算术错误，修正错误的原则如下：</w:t>
      </w:r>
    </w:p>
    <w:p w14:paraId="2D826C1E">
      <w:pPr>
        <w:spacing w:line="360" w:lineRule="auto"/>
        <w:ind w:firstLine="480"/>
        <w:rPr>
          <w:rFonts w:hint="eastAsia" w:ascii="宋体" w:hAnsi="宋体" w:cs="宋体"/>
          <w:szCs w:val="21"/>
          <w:highlight w:val="none"/>
        </w:rPr>
      </w:pPr>
      <w:r>
        <w:rPr>
          <w:rFonts w:hint="eastAsia" w:ascii="宋体" w:hAnsi="宋体" w:cs="宋体"/>
          <w:szCs w:val="21"/>
          <w:highlight w:val="none"/>
        </w:rPr>
        <w:t>（1）响应文件中报价总表内容与响应文件中相应内容不一致的，以报价总表为准。</w:t>
      </w:r>
    </w:p>
    <w:p w14:paraId="7F7A7ACF">
      <w:pPr>
        <w:spacing w:line="360" w:lineRule="auto"/>
        <w:ind w:firstLine="480"/>
        <w:rPr>
          <w:rFonts w:hint="eastAsia" w:ascii="宋体" w:hAnsi="宋体" w:cs="宋体"/>
          <w:szCs w:val="21"/>
          <w:highlight w:val="none"/>
        </w:rPr>
      </w:pPr>
      <w:r>
        <w:rPr>
          <w:rFonts w:hint="eastAsia" w:ascii="宋体" w:hAnsi="宋体" w:cs="宋体"/>
          <w:szCs w:val="21"/>
          <w:highlight w:val="none"/>
        </w:rPr>
        <w:t>（2）大写金额和小写金额不一致的，以大写金额为准。</w:t>
      </w:r>
    </w:p>
    <w:p w14:paraId="18C65515">
      <w:pPr>
        <w:spacing w:line="360" w:lineRule="auto"/>
        <w:ind w:firstLine="480"/>
        <w:rPr>
          <w:rFonts w:hint="eastAsia" w:ascii="宋体" w:hAnsi="宋体" w:cs="宋体"/>
          <w:szCs w:val="21"/>
          <w:highlight w:val="none"/>
        </w:rPr>
      </w:pPr>
      <w:r>
        <w:rPr>
          <w:rFonts w:hint="eastAsia" w:ascii="宋体" w:hAnsi="宋体" w:cs="宋体"/>
          <w:szCs w:val="21"/>
          <w:highlight w:val="none"/>
        </w:rPr>
        <w:t>（3）单价金额小数点或者百分比有明显错位的，以报价总表的总价为准，并修改单价。</w:t>
      </w:r>
    </w:p>
    <w:p w14:paraId="0BBAC01A">
      <w:pPr>
        <w:spacing w:line="360" w:lineRule="auto"/>
        <w:ind w:firstLine="480"/>
        <w:rPr>
          <w:rFonts w:hint="eastAsia" w:ascii="宋体" w:hAnsi="宋体" w:cs="宋体"/>
          <w:szCs w:val="21"/>
          <w:highlight w:val="none"/>
        </w:rPr>
      </w:pPr>
      <w:r>
        <w:rPr>
          <w:rFonts w:hint="eastAsia" w:ascii="宋体" w:hAnsi="宋体" w:cs="宋体"/>
          <w:szCs w:val="21"/>
          <w:highlight w:val="none"/>
        </w:rPr>
        <w:t>（4）总价金额与按单价汇总金额不一致的，以单价金额计算结果为准。</w:t>
      </w:r>
    </w:p>
    <w:p w14:paraId="16686523">
      <w:pPr>
        <w:spacing w:line="360" w:lineRule="auto"/>
        <w:ind w:firstLine="480"/>
        <w:rPr>
          <w:rFonts w:hint="eastAsia" w:ascii="宋体" w:hAnsi="宋体" w:cs="宋体"/>
          <w:szCs w:val="21"/>
          <w:highlight w:val="none"/>
        </w:rPr>
      </w:pPr>
      <w:r>
        <w:rPr>
          <w:rFonts w:hint="eastAsia" w:ascii="宋体" w:hAnsi="宋体" w:cs="宋体"/>
          <w:szCs w:val="21"/>
          <w:highlight w:val="none"/>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3DFCB254">
      <w:pPr>
        <w:spacing w:line="360" w:lineRule="auto"/>
        <w:ind w:firstLine="480"/>
        <w:rPr>
          <w:rFonts w:hint="eastAsia" w:ascii="宋体" w:hAnsi="宋体" w:cs="宋体"/>
          <w:szCs w:val="21"/>
          <w:highlight w:val="none"/>
        </w:rPr>
      </w:pPr>
      <w:r>
        <w:rPr>
          <w:rFonts w:hint="eastAsia" w:ascii="宋体" w:hAnsi="宋体" w:cs="宋体"/>
          <w:szCs w:val="21"/>
          <w:highlight w:val="none"/>
        </w:rPr>
        <w:t>5.6磋商小组将允许修正响应文件中不构成重大偏离的、微小的、非正规的、不一致的或不规则的地方，但这些修改不能影响任何供应商相应的名次排列。</w:t>
      </w:r>
    </w:p>
    <w:p w14:paraId="2252065A">
      <w:pPr>
        <w:spacing w:line="360" w:lineRule="auto"/>
        <w:ind w:firstLine="480"/>
        <w:rPr>
          <w:rFonts w:hint="eastAsia" w:ascii="宋体" w:hAnsi="宋体" w:cs="宋体"/>
          <w:szCs w:val="21"/>
          <w:highlight w:val="none"/>
        </w:rPr>
      </w:pPr>
      <w:r>
        <w:rPr>
          <w:rFonts w:hint="eastAsia" w:ascii="宋体" w:hAnsi="宋体" w:cs="宋体"/>
          <w:szCs w:val="21"/>
          <w:highlight w:val="none"/>
        </w:rPr>
        <w:t>5.7供应商在评审全过程中应保持通信畅通，并安排专人与采购人或采购代理机构及磋商小组联系。</w:t>
      </w:r>
    </w:p>
    <w:p w14:paraId="3FCA6943">
      <w:pPr>
        <w:spacing w:line="360" w:lineRule="auto"/>
        <w:ind w:firstLine="480"/>
        <w:rPr>
          <w:rFonts w:hint="eastAsia" w:ascii="宋体" w:hAnsi="宋体" w:cs="宋体"/>
          <w:szCs w:val="21"/>
          <w:highlight w:val="none"/>
        </w:rPr>
      </w:pPr>
      <w:r>
        <w:rPr>
          <w:rFonts w:hint="eastAsia" w:ascii="宋体" w:hAnsi="宋体" w:cs="宋体"/>
          <w:szCs w:val="21"/>
          <w:highlight w:val="none"/>
        </w:rPr>
        <w:t>6.响应文件线上格式要求</w:t>
      </w:r>
    </w:p>
    <w:p w14:paraId="5334FC84">
      <w:pPr>
        <w:spacing w:line="360" w:lineRule="auto"/>
        <w:ind w:firstLine="480"/>
        <w:rPr>
          <w:rFonts w:hint="eastAsia" w:ascii="宋体" w:hAnsi="宋体" w:cs="宋体"/>
          <w:szCs w:val="21"/>
          <w:highlight w:val="none"/>
        </w:rPr>
      </w:pPr>
      <w:r>
        <w:rPr>
          <w:rFonts w:hint="eastAsia" w:ascii="宋体" w:hAnsi="宋体" w:cs="宋体"/>
          <w:szCs w:val="21"/>
          <w:highlight w:val="none"/>
        </w:rPr>
        <w:t>6.1供应商应当通过“苏采云”系统提交数据电文形式的响应文件（即电子投标）。</w:t>
      </w:r>
    </w:p>
    <w:p w14:paraId="32C8313D">
      <w:pPr>
        <w:spacing w:line="360" w:lineRule="auto"/>
        <w:ind w:firstLine="480"/>
        <w:rPr>
          <w:rFonts w:hint="eastAsia" w:ascii="宋体" w:hAnsi="宋体" w:cs="宋体"/>
          <w:szCs w:val="21"/>
          <w:highlight w:val="none"/>
        </w:rPr>
      </w:pPr>
      <w:r>
        <w:rPr>
          <w:rFonts w:hint="eastAsia" w:ascii="宋体" w:hAnsi="宋体" w:cs="宋体"/>
          <w:szCs w:val="21"/>
          <w:highlight w:val="none"/>
        </w:rPr>
        <w:t>6.2通过“苏采云”系统提交政府采购客户端工具导出加密的响应文件（后缀名为zip）。</w:t>
      </w:r>
      <w:r>
        <w:rPr>
          <w:rFonts w:hint="eastAsia" w:ascii="宋体" w:hAnsi="宋体" w:cs="宋体"/>
          <w:b/>
          <w:bCs/>
          <w:szCs w:val="21"/>
          <w:highlight w:val="none"/>
        </w:rPr>
        <w:t>响应文件不得超过150M</w:t>
      </w:r>
      <w:r>
        <w:rPr>
          <w:rFonts w:hint="eastAsia" w:ascii="宋体" w:hAnsi="宋体" w:cs="宋体"/>
          <w:szCs w:val="21"/>
          <w:highlight w:val="none"/>
        </w:rPr>
        <w:t>！</w:t>
      </w:r>
    </w:p>
    <w:p w14:paraId="4515D078">
      <w:pPr>
        <w:spacing w:line="360" w:lineRule="auto"/>
        <w:ind w:firstLine="480"/>
        <w:rPr>
          <w:rFonts w:hint="eastAsia" w:ascii="宋体" w:hAnsi="宋体" w:cs="宋体"/>
          <w:szCs w:val="21"/>
          <w:highlight w:val="none"/>
        </w:rPr>
      </w:pPr>
      <w:r>
        <w:rPr>
          <w:rFonts w:hint="eastAsia" w:ascii="宋体" w:hAnsi="宋体" w:cs="宋体"/>
          <w:szCs w:val="21"/>
          <w:highlight w:val="none"/>
        </w:rPr>
        <w:t>6.3本项目采用线上投标，即供应商响应文件从政府采购客户端工具制作通过“苏采云”系统提交，未提供线上响应文件的，投标无效。</w:t>
      </w:r>
      <w:bookmarkStart w:id="91" w:name="_Toc120614219"/>
    </w:p>
    <w:p w14:paraId="70EB673A">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7.被认定为未实质性响应磋商文件的情形：</w:t>
      </w:r>
    </w:p>
    <w:p w14:paraId="11E421E5">
      <w:pPr>
        <w:spacing w:line="360" w:lineRule="auto"/>
        <w:ind w:firstLine="482"/>
        <w:rPr>
          <w:rFonts w:hint="eastAsia" w:ascii="宋体" w:hAnsi="宋体" w:cs="宋体"/>
          <w:b/>
          <w:szCs w:val="21"/>
          <w:highlight w:val="none"/>
        </w:rPr>
      </w:pPr>
      <w:r>
        <w:rPr>
          <w:rFonts w:hint="eastAsia" w:ascii="宋体" w:hAnsi="宋体" w:cs="宋体"/>
          <w:b/>
          <w:bCs/>
          <w:szCs w:val="21"/>
          <w:highlight w:val="none"/>
        </w:rPr>
        <w:t>7.1出现下列情形之一的，作无效响应处理，</w:t>
      </w:r>
      <w:r>
        <w:rPr>
          <w:rFonts w:hint="eastAsia" w:ascii="宋体" w:hAnsi="宋体" w:cs="宋体"/>
          <w:b/>
          <w:szCs w:val="21"/>
          <w:highlight w:val="none"/>
        </w:rPr>
        <w:t>并视情报监管部门调查其相互串通投标嫌疑。</w:t>
      </w:r>
      <w:r>
        <w:rPr>
          <w:rFonts w:hint="eastAsia" w:ascii="宋体" w:hAnsi="宋体" w:cs="宋体"/>
          <w:b/>
          <w:bCs/>
          <w:szCs w:val="21"/>
          <w:highlight w:val="none"/>
        </w:rPr>
        <w:tab/>
      </w:r>
      <w:r>
        <w:rPr>
          <w:rFonts w:hint="eastAsia" w:ascii="宋体" w:hAnsi="宋体" w:cs="宋体"/>
          <w:b/>
          <w:szCs w:val="21"/>
          <w:highlight w:val="none"/>
        </w:rPr>
        <w:tab/>
      </w:r>
    </w:p>
    <w:p w14:paraId="77F5118D">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7.1.1供应商在规定的时间内未在苏采云系统内成功提交磋商响应文件的。</w:t>
      </w:r>
    </w:p>
    <w:p w14:paraId="0FAF3361">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7.1.2未完整提交响应文件的。</w:t>
      </w:r>
    </w:p>
    <w:p w14:paraId="4F52CC1B">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7.1.3同一供应商提交两个（含两个）以上不同的响应报价的。</w:t>
      </w:r>
    </w:p>
    <w:p w14:paraId="366D06AB">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 xml:space="preserve">7.1.4不具备磋商文件中规定的资格要求的。 </w:t>
      </w:r>
    </w:p>
    <w:p w14:paraId="0FA5A651">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7.1.5供应商在系统规定的时间内未成功解密电子响应文件的。</w:t>
      </w:r>
    </w:p>
    <w:p w14:paraId="60EA1CE2">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7.1.6未完整上传响应文件电子文档的，或上传的文件打不开的。</w:t>
      </w:r>
    </w:p>
    <w:p w14:paraId="1062F16E">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3ED4CEF2">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 xml:space="preserve">7.1.8响应报价超过了采购预算或最高限价的。 </w:t>
      </w:r>
    </w:p>
    <w:p w14:paraId="0513E66B">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7.1.9未通过符合性检查的。</w:t>
      </w:r>
    </w:p>
    <w:p w14:paraId="677B5BCE">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7.1.10不符合法律法规和磋商文件中规定的其他实质性要求的。</w:t>
      </w:r>
    </w:p>
    <w:p w14:paraId="027DCBE0">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7.1.11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2F030247">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7.1.12响应文件含有采购人不能接受的附加条件的。</w:t>
      </w:r>
    </w:p>
    <w:p w14:paraId="217B3696">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0EE9EC57">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7.1.14响应文件未按照磋商文件要求加盖电子签章。</w:t>
      </w:r>
    </w:p>
    <w:p w14:paraId="3F1C82E6">
      <w:pPr>
        <w:spacing w:line="360" w:lineRule="auto"/>
        <w:ind w:firstLine="482"/>
        <w:rPr>
          <w:rFonts w:hint="eastAsia" w:ascii="宋体" w:hAnsi="宋体" w:cs="宋体"/>
          <w:b/>
          <w:bCs/>
          <w:szCs w:val="21"/>
          <w:highlight w:val="none"/>
        </w:rPr>
      </w:pPr>
      <w:r>
        <w:rPr>
          <w:rFonts w:hint="eastAsia" w:ascii="宋体" w:hAnsi="宋体" w:cs="宋体"/>
          <w:b/>
          <w:szCs w:val="21"/>
          <w:highlight w:val="none"/>
        </w:rPr>
        <w:t>注：凡是响应文件中要求法定代表人或授权委托人签字，和以供应商名称落款并注明需要盖章的，均需相应盖章（或电子签章）或签字。否则视为未按照采购文件要求盖章或签字。</w:t>
      </w:r>
    </w:p>
    <w:p w14:paraId="43D67B5C">
      <w:pPr>
        <w:spacing w:line="360" w:lineRule="auto"/>
        <w:ind w:firstLine="482"/>
        <w:rPr>
          <w:rFonts w:hint="eastAsia" w:ascii="宋体" w:hAnsi="宋体" w:cs="宋体"/>
          <w:b/>
          <w:szCs w:val="21"/>
          <w:highlight w:val="none"/>
        </w:rPr>
      </w:pPr>
      <w:r>
        <w:rPr>
          <w:rFonts w:hint="eastAsia" w:ascii="宋体" w:hAnsi="宋体" w:cs="宋体"/>
          <w:b/>
          <w:bCs/>
          <w:szCs w:val="21"/>
          <w:highlight w:val="none"/>
        </w:rPr>
        <w:t>7.1.15</w:t>
      </w:r>
      <w:r>
        <w:rPr>
          <w:rFonts w:hint="eastAsia" w:ascii="宋体" w:hAnsi="宋体" w:cs="宋体"/>
          <w:b/>
          <w:szCs w:val="21"/>
          <w:highlight w:val="none"/>
        </w:rPr>
        <w:t>不同供应商的响应文件由同一单位或者个人编制的；不同供应商的磋商响应文件相互混传；</w:t>
      </w:r>
    </w:p>
    <w:p w14:paraId="16474F0B">
      <w:pPr>
        <w:spacing w:line="360" w:lineRule="auto"/>
        <w:ind w:firstLine="482"/>
        <w:rPr>
          <w:rFonts w:hint="eastAsia" w:ascii="宋体" w:hAnsi="宋体" w:cs="宋体"/>
          <w:b/>
          <w:szCs w:val="21"/>
          <w:highlight w:val="none"/>
        </w:rPr>
      </w:pPr>
      <w:r>
        <w:rPr>
          <w:rFonts w:hint="eastAsia" w:ascii="宋体" w:hAnsi="宋体" w:cs="宋体"/>
          <w:b/>
          <w:szCs w:val="21"/>
          <w:highlight w:val="none"/>
        </w:rPr>
        <w:t>7.1.16不同供应商委托同一单位或者个人办理磋商事宜；不同供应商的磋商响应文件错漏之处雷同；</w:t>
      </w:r>
    </w:p>
    <w:p w14:paraId="48B00B93">
      <w:pPr>
        <w:spacing w:line="360" w:lineRule="auto"/>
        <w:ind w:firstLine="482"/>
        <w:rPr>
          <w:rFonts w:hint="eastAsia" w:ascii="宋体" w:hAnsi="宋体" w:cs="宋体"/>
          <w:b/>
          <w:szCs w:val="21"/>
          <w:highlight w:val="none"/>
        </w:rPr>
      </w:pPr>
      <w:r>
        <w:rPr>
          <w:rFonts w:hint="eastAsia" w:ascii="宋体" w:hAnsi="宋体" w:cs="宋体"/>
          <w:b/>
          <w:szCs w:val="21"/>
          <w:highlight w:val="none"/>
        </w:rPr>
        <w:t>7.1.17不同供应商的响应文件载明的项目管理成员或者联系人员为同一人；</w:t>
      </w:r>
    </w:p>
    <w:p w14:paraId="24B8D12F">
      <w:pPr>
        <w:spacing w:line="360" w:lineRule="auto"/>
        <w:ind w:firstLine="482"/>
        <w:rPr>
          <w:rFonts w:hint="eastAsia" w:ascii="宋体" w:hAnsi="宋体" w:cs="宋体"/>
          <w:b/>
          <w:szCs w:val="21"/>
          <w:highlight w:val="none"/>
        </w:rPr>
      </w:pPr>
      <w:r>
        <w:rPr>
          <w:rFonts w:hint="eastAsia" w:ascii="宋体" w:hAnsi="宋体" w:cs="宋体"/>
          <w:b/>
          <w:szCs w:val="21"/>
          <w:highlight w:val="none"/>
        </w:rPr>
        <w:t>7.1.18不同供应商的响应文件异常一致或者响应报价呈规律性差异；</w:t>
      </w:r>
    </w:p>
    <w:p w14:paraId="613DB630">
      <w:pPr>
        <w:spacing w:line="360" w:lineRule="auto"/>
        <w:ind w:firstLine="482"/>
        <w:rPr>
          <w:rFonts w:hint="eastAsia" w:ascii="宋体" w:hAnsi="宋体" w:cs="宋体"/>
          <w:b/>
          <w:szCs w:val="21"/>
          <w:highlight w:val="none"/>
        </w:rPr>
      </w:pPr>
      <w:r>
        <w:rPr>
          <w:rFonts w:hint="eastAsia" w:ascii="宋体" w:hAnsi="宋体" w:cs="宋体"/>
          <w:b/>
          <w:szCs w:val="21"/>
          <w:highlight w:val="none"/>
        </w:rPr>
        <w:t>7.1.19供应商之间相互约定，一致抬高或压低投标报价；</w:t>
      </w:r>
    </w:p>
    <w:p w14:paraId="17833F88">
      <w:pPr>
        <w:spacing w:line="360" w:lineRule="auto"/>
        <w:ind w:firstLine="482"/>
        <w:rPr>
          <w:rFonts w:hint="eastAsia" w:ascii="宋体" w:hAnsi="宋体" w:cs="宋体"/>
          <w:b/>
          <w:szCs w:val="21"/>
          <w:highlight w:val="none"/>
        </w:rPr>
      </w:pPr>
      <w:r>
        <w:rPr>
          <w:rFonts w:hint="eastAsia" w:ascii="宋体" w:hAnsi="宋体" w:cs="宋体"/>
          <w:b/>
          <w:szCs w:val="21"/>
          <w:highlight w:val="none"/>
        </w:rPr>
        <w:t>7.1.20供应商之间相互约定，在招标项目中轮流以高价位或低价位成交；</w:t>
      </w:r>
    </w:p>
    <w:p w14:paraId="2129140F">
      <w:pPr>
        <w:spacing w:line="360" w:lineRule="auto"/>
        <w:ind w:firstLine="482"/>
        <w:rPr>
          <w:rFonts w:hint="eastAsia" w:ascii="宋体" w:hAnsi="宋体" w:cs="宋体"/>
          <w:b/>
          <w:szCs w:val="21"/>
          <w:highlight w:val="none"/>
        </w:rPr>
      </w:pPr>
      <w:r>
        <w:rPr>
          <w:rFonts w:hint="eastAsia" w:ascii="宋体" w:hAnsi="宋体" w:cs="宋体"/>
          <w:b/>
          <w:szCs w:val="21"/>
          <w:highlight w:val="none"/>
        </w:rPr>
        <w:t>7.1.21磋商小组一致认定判定为无效响应的；</w:t>
      </w:r>
    </w:p>
    <w:p w14:paraId="3FF33A26">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7.1.22不同的供应商响应文件制作机器码、文件创建标识码一致的。</w:t>
      </w:r>
    </w:p>
    <w:p w14:paraId="710A8E35">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其他法律法规及本磋商文件规定的属无效响应的情形：</w:t>
      </w:r>
    </w:p>
    <w:p w14:paraId="3CFE6F41">
      <w:pPr>
        <w:spacing w:line="360" w:lineRule="auto"/>
        <w:ind w:firstLine="482"/>
        <w:rPr>
          <w:rFonts w:hint="eastAsia" w:ascii="宋体" w:hAnsi="宋体" w:cs="宋体"/>
          <w:b/>
          <w:szCs w:val="21"/>
          <w:highlight w:val="none"/>
        </w:rPr>
      </w:pPr>
      <w:r>
        <w:rPr>
          <w:rFonts w:hint="eastAsia" w:ascii="宋体" w:hAnsi="宋体" w:cs="宋体"/>
          <w:b/>
          <w:bCs/>
          <w:szCs w:val="21"/>
          <w:highlight w:val="none"/>
        </w:rPr>
        <w:t>7.2</w:t>
      </w:r>
      <w:r>
        <w:rPr>
          <w:rFonts w:hint="eastAsia" w:ascii="宋体" w:hAnsi="宋体" w:cs="宋体"/>
          <w:b/>
          <w:szCs w:val="21"/>
          <w:highlight w:val="none"/>
        </w:rPr>
        <w:t xml:space="preserve">凡磋商响应文件有下列情形之一的，属于重大偏差，视同未能对采购文件作出实质性响应，按废标处理。 </w:t>
      </w:r>
    </w:p>
    <w:p w14:paraId="07FEEEF4">
      <w:pPr>
        <w:spacing w:line="360" w:lineRule="auto"/>
        <w:ind w:firstLine="482"/>
        <w:rPr>
          <w:rFonts w:hint="eastAsia" w:ascii="宋体" w:hAnsi="宋体" w:cs="宋体"/>
          <w:b/>
          <w:szCs w:val="21"/>
          <w:highlight w:val="none"/>
        </w:rPr>
      </w:pPr>
      <w:r>
        <w:rPr>
          <w:rFonts w:hint="eastAsia" w:ascii="宋体" w:hAnsi="宋体" w:cs="宋体"/>
          <w:b/>
          <w:szCs w:val="21"/>
          <w:highlight w:val="none"/>
        </w:rPr>
        <w:t>7.2.1法人授权委托书或投标函未加盖投标供应商公章（或电子印章）的；</w:t>
      </w:r>
    </w:p>
    <w:p w14:paraId="5A21AE0D">
      <w:pPr>
        <w:spacing w:line="360" w:lineRule="auto"/>
        <w:ind w:firstLine="482"/>
        <w:rPr>
          <w:rFonts w:hint="eastAsia" w:ascii="宋体" w:hAnsi="宋体" w:cs="宋体"/>
          <w:b/>
          <w:szCs w:val="21"/>
          <w:highlight w:val="none"/>
        </w:rPr>
      </w:pPr>
      <w:r>
        <w:rPr>
          <w:rFonts w:hint="eastAsia" w:ascii="宋体" w:hAnsi="宋体" w:cs="宋体"/>
          <w:b/>
          <w:szCs w:val="21"/>
          <w:highlight w:val="none"/>
        </w:rPr>
        <w:t xml:space="preserve">7.2.2未按采购文件规定的格式填写，内容不全或关键字迹模糊、无法辨认的； </w:t>
      </w:r>
    </w:p>
    <w:p w14:paraId="591F1764">
      <w:pPr>
        <w:spacing w:line="360" w:lineRule="auto"/>
        <w:ind w:firstLine="482"/>
        <w:rPr>
          <w:rFonts w:hint="eastAsia" w:ascii="宋体" w:hAnsi="宋体" w:cs="宋体"/>
          <w:b/>
          <w:szCs w:val="21"/>
          <w:highlight w:val="none"/>
        </w:rPr>
      </w:pPr>
      <w:r>
        <w:rPr>
          <w:rFonts w:hint="eastAsia" w:ascii="宋体" w:hAnsi="宋体" w:cs="宋体"/>
          <w:b/>
          <w:szCs w:val="21"/>
          <w:highlight w:val="none"/>
        </w:rPr>
        <w:t>7.2.3供应商递交两份或多份内容不同的磋商响应文件，或在一份磋商响应文件中对同一采购项目报有两个或多个报价，且未声明哪一个有效（按采购文件规定提交备选投标方案的除外）；</w:t>
      </w:r>
    </w:p>
    <w:p w14:paraId="18D13C09">
      <w:pPr>
        <w:spacing w:line="360" w:lineRule="auto"/>
        <w:ind w:firstLine="482"/>
        <w:rPr>
          <w:rFonts w:hint="eastAsia" w:ascii="宋体" w:hAnsi="宋体" w:cs="宋体"/>
          <w:b/>
          <w:szCs w:val="21"/>
          <w:highlight w:val="none"/>
        </w:rPr>
      </w:pPr>
      <w:r>
        <w:rPr>
          <w:rFonts w:hint="eastAsia" w:ascii="宋体" w:hAnsi="宋体" w:cs="宋体"/>
          <w:b/>
          <w:szCs w:val="21"/>
          <w:highlight w:val="none"/>
        </w:rPr>
        <w:t>7.2.4磋商响应文件载明的项目完成期限超过采购文件规定的期限；</w:t>
      </w:r>
    </w:p>
    <w:p w14:paraId="2DF8DD8B">
      <w:pPr>
        <w:spacing w:line="360" w:lineRule="auto"/>
        <w:ind w:firstLine="482"/>
        <w:rPr>
          <w:rFonts w:hint="eastAsia" w:ascii="宋体" w:hAnsi="宋体" w:cs="宋体"/>
          <w:b/>
          <w:szCs w:val="21"/>
          <w:highlight w:val="none"/>
        </w:rPr>
      </w:pPr>
      <w:r>
        <w:rPr>
          <w:rFonts w:hint="eastAsia" w:ascii="宋体" w:hAnsi="宋体" w:cs="宋体"/>
          <w:b/>
          <w:szCs w:val="21"/>
          <w:highlight w:val="none"/>
        </w:rPr>
        <w:t>7.2.5明显不符合技术规范、技术标准的要求，或者对采购文件质量要求未明确响应的；</w:t>
      </w:r>
    </w:p>
    <w:p w14:paraId="3F57E0C8">
      <w:pPr>
        <w:spacing w:line="360" w:lineRule="auto"/>
        <w:ind w:firstLine="482"/>
        <w:rPr>
          <w:rFonts w:hint="eastAsia" w:ascii="宋体" w:hAnsi="宋体" w:cs="宋体"/>
          <w:b/>
          <w:szCs w:val="21"/>
          <w:highlight w:val="none"/>
        </w:rPr>
      </w:pPr>
      <w:r>
        <w:rPr>
          <w:rFonts w:hint="eastAsia" w:ascii="宋体" w:hAnsi="宋体" w:cs="宋体"/>
          <w:b/>
          <w:szCs w:val="21"/>
          <w:highlight w:val="none"/>
        </w:rPr>
        <w:t>7.2.6投标报价低于成本或者高于采购文件规定的最高限价（招标控制价）的；</w:t>
      </w:r>
    </w:p>
    <w:p w14:paraId="295736D8">
      <w:pPr>
        <w:spacing w:line="360" w:lineRule="auto"/>
        <w:ind w:firstLine="482"/>
        <w:rPr>
          <w:rFonts w:hint="eastAsia" w:ascii="宋体" w:hAnsi="宋体" w:cs="宋体"/>
          <w:b/>
          <w:szCs w:val="21"/>
          <w:highlight w:val="none"/>
        </w:rPr>
      </w:pPr>
      <w:r>
        <w:rPr>
          <w:rFonts w:hint="eastAsia" w:ascii="宋体" w:hAnsi="宋体" w:cs="宋体"/>
          <w:b/>
          <w:szCs w:val="21"/>
          <w:highlight w:val="none"/>
        </w:rPr>
        <w:t>7.2.7磋商响应文件载明的货物包装方式、检验标准和方法等不符合采购文件的要求；</w:t>
      </w:r>
    </w:p>
    <w:p w14:paraId="11DFBC50">
      <w:pPr>
        <w:spacing w:line="360" w:lineRule="auto"/>
        <w:ind w:firstLine="482"/>
        <w:rPr>
          <w:rFonts w:hint="eastAsia" w:ascii="宋体" w:hAnsi="宋体" w:cs="宋体"/>
          <w:b/>
          <w:szCs w:val="21"/>
          <w:highlight w:val="none"/>
        </w:rPr>
      </w:pPr>
      <w:r>
        <w:rPr>
          <w:rFonts w:hint="eastAsia" w:ascii="宋体" w:hAnsi="宋体" w:cs="宋体"/>
          <w:b/>
          <w:szCs w:val="21"/>
          <w:highlight w:val="none"/>
        </w:rPr>
        <w:t>7.2.8组成联合体参加磋商活动的，磋商响应文件未附联合体各方共同投标协议的；</w:t>
      </w:r>
    </w:p>
    <w:p w14:paraId="4F47F33F">
      <w:pPr>
        <w:spacing w:line="360" w:lineRule="auto"/>
        <w:ind w:firstLine="482"/>
        <w:rPr>
          <w:rFonts w:hint="eastAsia" w:ascii="宋体" w:hAnsi="宋体" w:cs="宋体"/>
          <w:b/>
          <w:szCs w:val="21"/>
          <w:highlight w:val="none"/>
        </w:rPr>
      </w:pPr>
      <w:r>
        <w:rPr>
          <w:rFonts w:hint="eastAsia" w:ascii="宋体" w:hAnsi="宋体" w:cs="宋体"/>
          <w:b/>
          <w:szCs w:val="21"/>
          <w:highlight w:val="none"/>
        </w:rPr>
        <w:t>7.2.9在同一采购项目中，联合体成员以自己名义单独参加磋商或者参加其他联合体磋商活动的；</w:t>
      </w:r>
    </w:p>
    <w:p w14:paraId="164B9BD8">
      <w:pPr>
        <w:spacing w:line="360" w:lineRule="auto"/>
        <w:ind w:firstLine="482"/>
        <w:rPr>
          <w:rFonts w:hint="eastAsia" w:ascii="宋体" w:hAnsi="宋体" w:cs="宋体"/>
          <w:b/>
          <w:szCs w:val="21"/>
          <w:highlight w:val="none"/>
        </w:rPr>
      </w:pPr>
      <w:r>
        <w:rPr>
          <w:rFonts w:hint="eastAsia" w:ascii="宋体" w:hAnsi="宋体" w:cs="宋体"/>
          <w:b/>
          <w:szCs w:val="21"/>
          <w:highlight w:val="none"/>
        </w:rPr>
        <w:t>7.2.10未按采购文件要求提供磋商响应文件内容不全的；</w:t>
      </w:r>
    </w:p>
    <w:p w14:paraId="6DA66CC8">
      <w:pPr>
        <w:spacing w:line="360" w:lineRule="auto"/>
        <w:ind w:firstLine="482"/>
        <w:rPr>
          <w:rFonts w:hint="eastAsia" w:ascii="宋体" w:hAnsi="宋体" w:cs="宋体"/>
          <w:b/>
          <w:szCs w:val="21"/>
          <w:highlight w:val="none"/>
        </w:rPr>
      </w:pPr>
      <w:r>
        <w:rPr>
          <w:rFonts w:hint="eastAsia" w:ascii="宋体" w:hAnsi="宋体" w:cs="宋体"/>
          <w:b/>
          <w:szCs w:val="21"/>
          <w:highlight w:val="none"/>
        </w:rPr>
        <w:t>7.2.11以他人的名义投标、串通投标、以行贿手段谋取中标或者以其他弄虚作假方式投标的；</w:t>
      </w:r>
    </w:p>
    <w:p w14:paraId="24A82128">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7.3出现下列情形之一的，磋商失败</w:t>
      </w:r>
    </w:p>
    <w:p w14:paraId="610CAF9B">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3EB9B05D">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7.3.2出现影响采购公正的违法违规行为的；</w:t>
      </w:r>
    </w:p>
    <w:p w14:paraId="74AFBE91">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7.3.3因重大变故，采购任务取消的。</w:t>
      </w:r>
    </w:p>
    <w:p w14:paraId="152EB844">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7.3.4磋商小组认定磋商文件存在歧义、重大缺陷导致评审工作无法进行。</w:t>
      </w:r>
    </w:p>
    <w:p w14:paraId="3C5FB848">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7.3.5 因系统故障原因造成磋商无法继续进行的</w:t>
      </w:r>
      <w:r>
        <w:rPr>
          <w:rFonts w:hint="eastAsia" w:ascii="宋体" w:hAnsi="宋体" w:cs="宋体"/>
          <w:b/>
          <w:szCs w:val="21"/>
          <w:highlight w:val="none"/>
        </w:rPr>
        <w:t>（适用于不见面磋商模式）</w:t>
      </w:r>
      <w:r>
        <w:rPr>
          <w:rFonts w:hint="eastAsia" w:ascii="宋体" w:hAnsi="宋体" w:cs="宋体"/>
          <w:b/>
          <w:bCs/>
          <w:szCs w:val="21"/>
          <w:highlight w:val="none"/>
        </w:rPr>
        <w:t>。</w:t>
      </w:r>
    </w:p>
    <w:p w14:paraId="3F2D891C">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7.4 响应</w:t>
      </w:r>
      <w:r>
        <w:rPr>
          <w:rFonts w:hint="eastAsia" w:ascii="宋体" w:hAnsi="宋体" w:cs="宋体"/>
          <w:b/>
          <w:szCs w:val="21"/>
          <w:highlight w:val="none"/>
        </w:rPr>
        <w:t>文件提交</w:t>
      </w:r>
      <w:r>
        <w:rPr>
          <w:rFonts w:hint="eastAsia" w:ascii="宋体" w:hAnsi="宋体" w:cs="宋体"/>
          <w:b/>
          <w:bCs/>
          <w:szCs w:val="21"/>
          <w:highlight w:val="none"/>
        </w:rPr>
        <w:t>截止时间结束后参加磋商的供应商不足三家的处理：</w:t>
      </w:r>
    </w:p>
    <w:p w14:paraId="50F1C0AD">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7.4.1如出现响应</w:t>
      </w:r>
      <w:r>
        <w:rPr>
          <w:rFonts w:hint="eastAsia" w:ascii="宋体" w:hAnsi="宋体" w:cs="宋体"/>
          <w:b/>
          <w:szCs w:val="21"/>
          <w:highlight w:val="none"/>
        </w:rPr>
        <w:t>文件提交</w:t>
      </w:r>
      <w:r>
        <w:rPr>
          <w:rFonts w:hint="eastAsia" w:ascii="宋体" w:hAnsi="宋体" w:cs="宋体"/>
          <w:b/>
          <w:bCs/>
          <w:szCs w:val="21"/>
          <w:highlight w:val="none"/>
        </w:rPr>
        <w:t>截止时间结束后参加磋商的供应商或者在评审期间对磋商文件做出实质响应的供应商不足三家情况，按政府采购相关规定执行。</w:t>
      </w:r>
    </w:p>
    <w:p w14:paraId="65798DF4">
      <w:pPr>
        <w:spacing w:line="360" w:lineRule="auto"/>
        <w:ind w:firstLine="482"/>
        <w:rPr>
          <w:rFonts w:hint="eastAsia" w:ascii="宋体" w:hAnsi="宋体" w:cs="宋体"/>
          <w:b/>
          <w:szCs w:val="21"/>
          <w:highlight w:val="none"/>
        </w:rPr>
      </w:pPr>
      <w:r>
        <w:rPr>
          <w:rFonts w:hint="eastAsia" w:ascii="宋体" w:hAnsi="宋体" w:cs="宋体"/>
          <w:b/>
          <w:szCs w:val="21"/>
          <w:highlight w:val="none"/>
        </w:rPr>
        <w:t>六</w:t>
      </w:r>
      <w:bookmarkEnd w:id="91"/>
      <w:r>
        <w:rPr>
          <w:rFonts w:hint="eastAsia" w:ascii="宋体" w:hAnsi="宋体" w:cs="宋体"/>
          <w:b/>
          <w:szCs w:val="21"/>
          <w:highlight w:val="none"/>
        </w:rPr>
        <w:t>、成交</w:t>
      </w:r>
    </w:p>
    <w:p w14:paraId="0347B312">
      <w:pPr>
        <w:spacing w:line="360" w:lineRule="auto"/>
        <w:ind w:firstLine="480"/>
        <w:rPr>
          <w:rFonts w:hint="eastAsia" w:ascii="宋体" w:hAnsi="宋体" w:cs="宋体"/>
          <w:szCs w:val="21"/>
          <w:highlight w:val="none"/>
        </w:rPr>
      </w:pPr>
      <w:r>
        <w:rPr>
          <w:rFonts w:hint="eastAsia" w:ascii="宋体" w:hAnsi="宋体" w:cs="宋体"/>
          <w:szCs w:val="21"/>
          <w:highlight w:val="none"/>
        </w:rPr>
        <w:t>1.确定成交单位</w:t>
      </w:r>
    </w:p>
    <w:p w14:paraId="70AD5C74">
      <w:pPr>
        <w:spacing w:line="360" w:lineRule="auto"/>
        <w:ind w:firstLine="480"/>
        <w:rPr>
          <w:rFonts w:hint="eastAsia" w:ascii="宋体" w:hAnsi="宋体" w:cs="宋体"/>
          <w:szCs w:val="21"/>
          <w:highlight w:val="none"/>
        </w:rPr>
      </w:pPr>
      <w:r>
        <w:rPr>
          <w:rFonts w:hint="eastAsia" w:ascii="宋体" w:hAnsi="宋体" w:cs="宋体"/>
          <w:szCs w:val="21"/>
          <w:highlight w:val="none"/>
        </w:rPr>
        <w:t>1.1成交候选供应商的选取原则和数量见磋商文件第四部分规定。</w:t>
      </w:r>
    </w:p>
    <w:p w14:paraId="45C0C0B5">
      <w:pPr>
        <w:spacing w:line="360" w:lineRule="auto"/>
        <w:ind w:firstLine="480"/>
        <w:rPr>
          <w:rFonts w:hint="eastAsia" w:ascii="宋体" w:hAnsi="宋体" w:cs="宋体"/>
          <w:szCs w:val="21"/>
          <w:highlight w:val="none"/>
        </w:rPr>
      </w:pPr>
      <w:r>
        <w:rPr>
          <w:rFonts w:hint="eastAsia" w:ascii="宋体" w:hAnsi="宋体" w:cs="宋体"/>
          <w:szCs w:val="21"/>
          <w:highlight w:val="none"/>
        </w:rPr>
        <w:t>1.2采购人授权磋商小组在成交候选供应商中直接确定成交供应商。</w:t>
      </w:r>
    </w:p>
    <w:p w14:paraId="0EADC62F">
      <w:pPr>
        <w:spacing w:line="360" w:lineRule="auto"/>
        <w:ind w:firstLine="480"/>
        <w:rPr>
          <w:rFonts w:hint="eastAsia" w:ascii="宋体" w:hAnsi="宋体" w:cs="宋体"/>
          <w:szCs w:val="21"/>
          <w:highlight w:val="none"/>
        </w:rPr>
      </w:pPr>
      <w:r>
        <w:rPr>
          <w:rFonts w:hint="eastAsia" w:ascii="宋体" w:hAnsi="宋体" w:cs="宋体"/>
          <w:szCs w:val="21"/>
          <w:highlight w:val="none"/>
        </w:rPr>
        <w:t>1.3采购代理机构将在“江苏政府采购网”发布成交结果公告，公告期限为1个工作日。</w:t>
      </w:r>
    </w:p>
    <w:p w14:paraId="3B98B82A">
      <w:pPr>
        <w:spacing w:line="360" w:lineRule="auto"/>
        <w:ind w:firstLine="480"/>
        <w:rPr>
          <w:rFonts w:hint="eastAsia" w:ascii="宋体" w:hAnsi="宋体" w:cs="宋体"/>
          <w:szCs w:val="21"/>
          <w:highlight w:val="none"/>
        </w:rPr>
      </w:pPr>
      <w:r>
        <w:rPr>
          <w:rFonts w:hint="eastAsia" w:ascii="宋体" w:hAnsi="宋体" w:cs="宋体"/>
          <w:szCs w:val="21"/>
          <w:highlight w:val="none"/>
        </w:rPr>
        <w:t>1.4若有充分证据证明，成交供应商出现下列情况之一的，一经查实，将被取消成交资格：</w:t>
      </w:r>
    </w:p>
    <w:p w14:paraId="6CDDFAD9">
      <w:pPr>
        <w:spacing w:line="360" w:lineRule="auto"/>
        <w:ind w:firstLine="480"/>
        <w:rPr>
          <w:rFonts w:hint="eastAsia" w:ascii="宋体" w:hAnsi="宋体" w:cs="宋体"/>
          <w:szCs w:val="21"/>
          <w:highlight w:val="none"/>
        </w:rPr>
      </w:pPr>
      <w:r>
        <w:rPr>
          <w:rFonts w:hint="eastAsia" w:ascii="宋体" w:hAnsi="宋体" w:cs="宋体"/>
          <w:szCs w:val="21"/>
          <w:highlight w:val="none"/>
        </w:rPr>
        <w:t>1.4.1提供虚假材料谋取成交的。</w:t>
      </w:r>
    </w:p>
    <w:p w14:paraId="1AED3DA3">
      <w:pPr>
        <w:spacing w:line="360" w:lineRule="auto"/>
        <w:ind w:firstLine="480"/>
        <w:rPr>
          <w:rFonts w:hint="eastAsia" w:ascii="宋体" w:hAnsi="宋体" w:cs="宋体"/>
          <w:szCs w:val="21"/>
          <w:highlight w:val="none"/>
        </w:rPr>
      </w:pPr>
      <w:r>
        <w:rPr>
          <w:rFonts w:hint="eastAsia" w:ascii="宋体" w:hAnsi="宋体" w:cs="宋体"/>
          <w:szCs w:val="21"/>
          <w:highlight w:val="none"/>
        </w:rPr>
        <w:t>1.4.2向采购人或采购代理机构行贿或者评审专家提供其他不正当利益的。</w:t>
      </w:r>
    </w:p>
    <w:p w14:paraId="1A6251C9">
      <w:pPr>
        <w:spacing w:line="360" w:lineRule="auto"/>
        <w:ind w:firstLine="480"/>
        <w:rPr>
          <w:rFonts w:hint="eastAsia" w:ascii="宋体" w:hAnsi="宋体" w:cs="宋体"/>
          <w:szCs w:val="21"/>
          <w:highlight w:val="none"/>
        </w:rPr>
      </w:pPr>
      <w:r>
        <w:rPr>
          <w:rFonts w:hint="eastAsia" w:ascii="宋体" w:hAnsi="宋体" w:cs="宋体"/>
          <w:szCs w:val="21"/>
          <w:highlight w:val="none"/>
        </w:rPr>
        <w:t>1.4.3恶意竞争，最后报价明显低于其自身合理成本且又无法提供证明的。</w:t>
      </w:r>
    </w:p>
    <w:p w14:paraId="48E84F01">
      <w:pPr>
        <w:spacing w:line="360" w:lineRule="auto"/>
        <w:ind w:firstLine="480"/>
        <w:rPr>
          <w:rFonts w:hint="eastAsia" w:ascii="宋体" w:hAnsi="宋体" w:cs="宋体"/>
          <w:szCs w:val="21"/>
          <w:highlight w:val="none"/>
        </w:rPr>
      </w:pPr>
      <w:r>
        <w:rPr>
          <w:rFonts w:hint="eastAsia" w:ascii="宋体" w:hAnsi="宋体" w:cs="宋体"/>
          <w:szCs w:val="21"/>
          <w:highlight w:val="none"/>
        </w:rPr>
        <w:t>1.4.4属于本文件规定的无效条件，但在评审过程中又未被磋商小组发现的。</w:t>
      </w:r>
    </w:p>
    <w:p w14:paraId="132BC20B">
      <w:pPr>
        <w:spacing w:line="360" w:lineRule="auto"/>
        <w:ind w:firstLine="480"/>
        <w:rPr>
          <w:rFonts w:hint="eastAsia" w:ascii="宋体" w:hAnsi="宋体" w:cs="宋体"/>
          <w:szCs w:val="21"/>
          <w:highlight w:val="none"/>
        </w:rPr>
      </w:pPr>
      <w:r>
        <w:rPr>
          <w:rFonts w:hint="eastAsia" w:ascii="宋体" w:hAnsi="宋体" w:cs="宋体"/>
          <w:szCs w:val="21"/>
          <w:highlight w:val="none"/>
        </w:rPr>
        <w:t>1.4.5</w:t>
      </w:r>
      <w:r>
        <w:rPr>
          <w:rFonts w:hint="eastAsia" w:ascii="宋体" w:hAnsi="宋体" w:cs="宋体"/>
          <w:szCs w:val="21"/>
          <w:highlight w:val="none"/>
          <w:lang w:val="zh-CN"/>
        </w:rPr>
        <w:t>与评审专家、采购人、</w:t>
      </w:r>
      <w:r>
        <w:rPr>
          <w:rFonts w:hint="eastAsia" w:ascii="宋体" w:hAnsi="宋体" w:cs="宋体"/>
          <w:szCs w:val="21"/>
          <w:highlight w:val="none"/>
        </w:rPr>
        <w:t>其他</w:t>
      </w:r>
      <w:r>
        <w:rPr>
          <w:rFonts w:hint="eastAsia" w:ascii="宋体" w:hAnsi="宋体" w:cs="宋体"/>
          <w:szCs w:val="21"/>
          <w:highlight w:val="none"/>
          <w:lang w:val="zh-CN"/>
        </w:rPr>
        <w:t>供应商或者采购</w:t>
      </w:r>
      <w:r>
        <w:rPr>
          <w:rFonts w:hint="eastAsia" w:ascii="宋体" w:hAnsi="宋体" w:cs="宋体"/>
          <w:szCs w:val="21"/>
          <w:highlight w:val="none"/>
        </w:rPr>
        <w:t>代理机构</w:t>
      </w:r>
      <w:r>
        <w:rPr>
          <w:rFonts w:hint="eastAsia" w:ascii="宋体" w:hAnsi="宋体" w:cs="宋体"/>
          <w:szCs w:val="21"/>
          <w:highlight w:val="none"/>
          <w:lang w:val="zh-CN"/>
        </w:rPr>
        <w:t>工作人员恶意串通的</w:t>
      </w:r>
      <w:r>
        <w:rPr>
          <w:rFonts w:hint="eastAsia" w:ascii="宋体" w:hAnsi="宋体" w:cs="宋体"/>
          <w:szCs w:val="21"/>
          <w:highlight w:val="none"/>
        </w:rPr>
        <w:t>。</w:t>
      </w:r>
    </w:p>
    <w:p w14:paraId="10BFC9F6">
      <w:pPr>
        <w:spacing w:line="360" w:lineRule="auto"/>
        <w:ind w:firstLine="480"/>
        <w:rPr>
          <w:rFonts w:hint="eastAsia" w:ascii="宋体" w:hAnsi="宋体" w:cs="宋体"/>
          <w:szCs w:val="21"/>
          <w:highlight w:val="none"/>
        </w:rPr>
      </w:pPr>
      <w:r>
        <w:rPr>
          <w:rFonts w:hint="eastAsia" w:ascii="宋体" w:hAnsi="宋体" w:cs="宋体"/>
          <w:szCs w:val="21"/>
          <w:highlight w:val="none"/>
        </w:rPr>
        <w:t>1.4.6采取不正当手段诋毁、排挤其他供应商的。</w:t>
      </w:r>
    </w:p>
    <w:p w14:paraId="28B38B0E">
      <w:pPr>
        <w:spacing w:line="360" w:lineRule="auto"/>
        <w:ind w:firstLine="480"/>
        <w:rPr>
          <w:rFonts w:hint="eastAsia" w:ascii="宋体" w:hAnsi="宋体" w:cs="宋体"/>
          <w:szCs w:val="21"/>
          <w:highlight w:val="none"/>
          <w:lang w:val="zh-CN"/>
        </w:rPr>
      </w:pPr>
      <w:r>
        <w:rPr>
          <w:rFonts w:hint="eastAsia" w:ascii="宋体" w:hAnsi="宋体" w:cs="宋体"/>
          <w:szCs w:val="21"/>
          <w:highlight w:val="none"/>
        </w:rPr>
        <w:t>1.4.7</w:t>
      </w:r>
      <w:r>
        <w:rPr>
          <w:rFonts w:hint="eastAsia" w:ascii="宋体" w:hAnsi="宋体" w:cs="宋体"/>
          <w:szCs w:val="21"/>
          <w:highlight w:val="none"/>
          <w:lang w:val="zh-CN"/>
        </w:rPr>
        <w:t>成交后无正当理由拒不与采购人签订政府采购合同或者未按照磋商文件确定的事项签订政府采购合同的。</w:t>
      </w:r>
    </w:p>
    <w:p w14:paraId="0AEA63C4">
      <w:pPr>
        <w:spacing w:line="360" w:lineRule="auto"/>
        <w:ind w:firstLine="480"/>
        <w:rPr>
          <w:rFonts w:hint="eastAsia" w:ascii="宋体" w:hAnsi="宋体" w:cs="宋体"/>
          <w:szCs w:val="21"/>
          <w:highlight w:val="none"/>
        </w:rPr>
      </w:pPr>
      <w:r>
        <w:rPr>
          <w:rFonts w:hint="eastAsia" w:ascii="宋体" w:hAnsi="宋体" w:cs="宋体"/>
          <w:szCs w:val="21"/>
          <w:highlight w:val="none"/>
        </w:rPr>
        <w:t>1.4.8</w:t>
      </w:r>
      <w:r>
        <w:rPr>
          <w:rFonts w:hint="eastAsia" w:ascii="宋体" w:hAnsi="宋体" w:cs="宋体"/>
          <w:szCs w:val="21"/>
          <w:highlight w:val="none"/>
          <w:lang w:val="zh-CN"/>
        </w:rPr>
        <w:t>将政府采购合同转包的。</w:t>
      </w:r>
    </w:p>
    <w:p w14:paraId="5D021B36">
      <w:pPr>
        <w:spacing w:line="360" w:lineRule="auto"/>
        <w:ind w:firstLine="482"/>
        <w:rPr>
          <w:rFonts w:hint="eastAsia" w:ascii="宋体" w:hAnsi="宋体" w:cs="宋体"/>
          <w:b/>
          <w:szCs w:val="21"/>
          <w:highlight w:val="none"/>
        </w:rPr>
      </w:pPr>
      <w:r>
        <w:rPr>
          <w:rFonts w:hint="eastAsia" w:ascii="宋体" w:hAnsi="宋体" w:cs="宋体"/>
          <w:b/>
          <w:szCs w:val="21"/>
          <w:highlight w:val="none"/>
        </w:rPr>
        <w:t>七、成交通知书</w:t>
      </w:r>
    </w:p>
    <w:p w14:paraId="34DACB9F">
      <w:pPr>
        <w:spacing w:line="360" w:lineRule="auto"/>
        <w:ind w:firstLine="480"/>
        <w:rPr>
          <w:rFonts w:hint="eastAsia" w:ascii="宋体" w:hAnsi="宋体" w:cs="宋体"/>
          <w:szCs w:val="21"/>
          <w:highlight w:val="none"/>
        </w:rPr>
      </w:pPr>
      <w:r>
        <w:rPr>
          <w:rFonts w:hint="eastAsia" w:ascii="宋体" w:hAnsi="宋体" w:cs="宋体"/>
          <w:szCs w:val="21"/>
          <w:highlight w:val="none"/>
        </w:rPr>
        <w:t>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48C266E8">
      <w:pPr>
        <w:spacing w:line="360" w:lineRule="auto"/>
        <w:ind w:firstLine="480"/>
        <w:rPr>
          <w:rFonts w:hint="eastAsia" w:ascii="宋体" w:hAnsi="宋体" w:cs="宋体"/>
          <w:szCs w:val="21"/>
          <w:highlight w:val="none"/>
        </w:rPr>
      </w:pPr>
      <w:r>
        <w:rPr>
          <w:rFonts w:hint="eastAsia" w:ascii="宋体" w:hAnsi="宋体" w:cs="宋体"/>
          <w:szCs w:val="21"/>
          <w:highlight w:val="none"/>
        </w:rPr>
        <w:t>2.成交通知书将是合同的一个组成部分。对采购人和成交供应商均具有法律效力。成交通知书发出后，采购人改变成交结果的，或者成交供应商放弃成交项目的，应当依法承担法律责任。</w:t>
      </w:r>
    </w:p>
    <w:p w14:paraId="64F2AB72">
      <w:pPr>
        <w:spacing w:line="360" w:lineRule="auto"/>
        <w:ind w:firstLine="482"/>
        <w:rPr>
          <w:rFonts w:hint="eastAsia" w:ascii="宋体" w:hAnsi="宋体" w:cs="宋体"/>
          <w:color w:val="FF0000"/>
          <w:szCs w:val="21"/>
          <w:highlight w:val="none"/>
        </w:rPr>
      </w:pPr>
      <w:r>
        <w:rPr>
          <w:rFonts w:hint="eastAsia" w:ascii="宋体" w:hAnsi="宋体" w:cs="宋体"/>
          <w:b/>
          <w:bCs/>
          <w:color w:val="FF0000"/>
          <w:szCs w:val="21"/>
          <w:highlight w:val="none"/>
        </w:rPr>
        <w:t>特别说明：成交供应商在下载成交通知书后7个工作日内提供</w:t>
      </w:r>
      <w:r>
        <w:rPr>
          <w:rFonts w:hint="eastAsia" w:ascii="宋体" w:hAnsi="宋体" w:cs="宋体"/>
          <w:b/>
          <w:bCs/>
          <w:color w:val="FF0000"/>
          <w:szCs w:val="21"/>
          <w:highlight w:val="none"/>
          <w:u w:val="single"/>
        </w:rPr>
        <w:t>3套</w:t>
      </w:r>
      <w:r>
        <w:rPr>
          <w:rFonts w:hint="eastAsia" w:ascii="宋体" w:hAnsi="宋体" w:cs="宋体"/>
          <w:b/>
          <w:bCs/>
          <w:color w:val="FF0000"/>
          <w:szCs w:val="21"/>
          <w:highlight w:val="none"/>
        </w:rPr>
        <w:t>加盖红章的系统内打印的纸质响应文件给采购代理机构。</w:t>
      </w:r>
    </w:p>
    <w:p w14:paraId="4CA81419">
      <w:pPr>
        <w:spacing w:line="360" w:lineRule="auto"/>
        <w:ind w:firstLine="482"/>
        <w:rPr>
          <w:rFonts w:hint="eastAsia" w:ascii="宋体" w:hAnsi="宋体" w:cs="宋体"/>
          <w:b/>
          <w:szCs w:val="21"/>
          <w:highlight w:val="none"/>
        </w:rPr>
      </w:pPr>
      <w:r>
        <w:rPr>
          <w:rFonts w:hint="eastAsia" w:ascii="宋体" w:hAnsi="宋体" w:cs="宋体"/>
          <w:b/>
          <w:szCs w:val="21"/>
          <w:highlight w:val="none"/>
        </w:rPr>
        <w:t>八、授予合同</w:t>
      </w:r>
    </w:p>
    <w:p w14:paraId="6717DB32">
      <w:pPr>
        <w:spacing w:line="360" w:lineRule="auto"/>
        <w:ind w:firstLine="480"/>
        <w:rPr>
          <w:rFonts w:hint="eastAsia" w:ascii="宋体" w:hAnsi="宋体" w:cs="宋体"/>
          <w:szCs w:val="21"/>
          <w:highlight w:val="none"/>
        </w:rPr>
      </w:pPr>
      <w:r>
        <w:rPr>
          <w:rFonts w:hint="eastAsia" w:ascii="宋体" w:hAnsi="宋体" w:cs="宋体"/>
          <w:szCs w:val="21"/>
          <w:highlight w:val="none"/>
        </w:rPr>
        <w:t>1.签订合同</w:t>
      </w:r>
    </w:p>
    <w:p w14:paraId="1940FE62">
      <w:pPr>
        <w:spacing w:line="360" w:lineRule="auto"/>
        <w:ind w:firstLine="480"/>
        <w:rPr>
          <w:rFonts w:hint="eastAsia" w:ascii="宋体" w:hAnsi="宋体" w:cs="宋体"/>
          <w:szCs w:val="21"/>
          <w:highlight w:val="none"/>
        </w:rPr>
      </w:pPr>
      <w:r>
        <w:rPr>
          <w:rFonts w:hint="eastAsia" w:ascii="宋体" w:hAnsi="宋体" w:cs="宋体"/>
          <w:szCs w:val="21"/>
          <w:highlight w:val="none"/>
        </w:rPr>
        <w:t>1.l成交供应商应当在成交通知书发出之日起三十日内，按照磋商文件确定的事项与采购人签订政府采购合同。</w:t>
      </w:r>
    </w:p>
    <w:p w14:paraId="6D6BBAAF">
      <w:pPr>
        <w:spacing w:line="360" w:lineRule="auto"/>
        <w:ind w:firstLine="482"/>
        <w:rPr>
          <w:rFonts w:hint="eastAsia" w:ascii="宋体" w:hAnsi="宋体" w:cs="宋体"/>
          <w:b/>
          <w:szCs w:val="21"/>
          <w:highlight w:val="none"/>
        </w:rPr>
      </w:pPr>
      <w:r>
        <w:rPr>
          <w:rFonts w:hint="eastAsia" w:ascii="宋体" w:hAnsi="宋体" w:cs="宋体"/>
          <w:b/>
          <w:szCs w:val="21"/>
          <w:highlight w:val="none"/>
        </w:rPr>
        <w:t>签订合同时需做好提交各类声明函、承诺函、业绩证明、资质、证书等相应原件的核查准备；核查后发现虚假或违背承诺的，依照相关法律法规的规定处理。</w:t>
      </w:r>
    </w:p>
    <w:p w14:paraId="58E5B78B">
      <w:pPr>
        <w:spacing w:line="360" w:lineRule="auto"/>
        <w:ind w:firstLine="480"/>
        <w:rPr>
          <w:rFonts w:hint="eastAsia" w:ascii="宋体" w:hAnsi="宋体" w:cs="宋体"/>
          <w:szCs w:val="21"/>
          <w:highlight w:val="none"/>
        </w:rPr>
      </w:pPr>
      <w:r>
        <w:rPr>
          <w:rFonts w:hint="eastAsia" w:ascii="宋体" w:hAnsi="宋体" w:cs="宋体"/>
          <w:szCs w:val="21"/>
          <w:highlight w:val="none"/>
        </w:rPr>
        <w:t>1.2磋商文件、成交供应商的响应文件及磋商过程中有关澄清、承诺文件均应作为合同附件。</w:t>
      </w:r>
    </w:p>
    <w:p w14:paraId="7FBF45F4">
      <w:pPr>
        <w:spacing w:line="360" w:lineRule="auto"/>
        <w:ind w:firstLine="480"/>
        <w:rPr>
          <w:rFonts w:hint="eastAsia" w:ascii="宋体" w:hAnsi="宋体" w:cs="宋体"/>
          <w:szCs w:val="21"/>
          <w:highlight w:val="none"/>
        </w:rPr>
      </w:pPr>
      <w:r>
        <w:rPr>
          <w:rFonts w:hint="eastAsia" w:ascii="宋体" w:hAnsi="宋体" w:cs="宋体"/>
          <w:szCs w:val="21"/>
          <w:highlight w:val="none"/>
        </w:rPr>
        <w:t>1.3签订合同后，成交供应商不得将合同标的进行转包。未经采购人同意，</w:t>
      </w:r>
      <w:r>
        <w:rPr>
          <w:rFonts w:hint="eastAsia" w:ascii="宋体" w:hAnsi="宋体" w:cs="宋体"/>
          <w:szCs w:val="21"/>
          <w:highlight w:val="none"/>
          <w:lang w:val="zh-CN"/>
        </w:rPr>
        <w:t>成交供应商也不得采用分包形式履行合同，否则采购人有权终止合同。转包或分包造成采购人损失的，成交供应商应承担相应赔偿责任。</w:t>
      </w:r>
    </w:p>
    <w:p w14:paraId="67EBA882">
      <w:pPr>
        <w:spacing w:line="360" w:lineRule="auto"/>
        <w:ind w:firstLine="480"/>
        <w:rPr>
          <w:rFonts w:hint="eastAsia" w:ascii="宋体" w:hAnsi="宋体" w:cs="宋体"/>
          <w:szCs w:val="21"/>
          <w:highlight w:val="none"/>
        </w:rPr>
      </w:pPr>
      <w:r>
        <w:rPr>
          <w:rFonts w:hint="eastAsia" w:ascii="宋体" w:hAnsi="宋体" w:cs="宋体"/>
          <w:szCs w:val="21"/>
          <w:highlight w:val="none"/>
        </w:rPr>
        <w:t>2. 货物和服务的追加、减少和添购</w:t>
      </w:r>
    </w:p>
    <w:p w14:paraId="56AC81A1">
      <w:pPr>
        <w:spacing w:line="360" w:lineRule="auto"/>
        <w:ind w:firstLine="480"/>
        <w:rPr>
          <w:rFonts w:hint="eastAsia" w:ascii="宋体" w:hAnsi="宋体" w:cs="宋体"/>
          <w:szCs w:val="21"/>
          <w:highlight w:val="none"/>
        </w:rPr>
      </w:pPr>
      <w:r>
        <w:rPr>
          <w:rFonts w:hint="eastAsia" w:ascii="宋体" w:hAnsi="宋体" w:cs="宋体"/>
          <w:szCs w:val="21"/>
          <w:highlight w:val="none"/>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p>
    <w:p w14:paraId="32F5E7BD">
      <w:pPr>
        <w:spacing w:line="360" w:lineRule="auto"/>
        <w:ind w:firstLine="480"/>
        <w:rPr>
          <w:rFonts w:hint="eastAsia" w:ascii="宋体" w:hAnsi="宋体" w:cs="宋体"/>
          <w:szCs w:val="21"/>
          <w:highlight w:val="none"/>
        </w:rPr>
      </w:pPr>
      <w:r>
        <w:rPr>
          <w:rFonts w:hint="eastAsia" w:ascii="宋体" w:hAnsi="宋体" w:cs="宋体"/>
          <w:szCs w:val="21"/>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1EC806DE">
      <w:pPr>
        <w:spacing w:line="360" w:lineRule="auto"/>
        <w:ind w:firstLine="482"/>
        <w:rPr>
          <w:rFonts w:hint="eastAsia" w:ascii="宋体" w:hAnsi="宋体" w:cs="宋体"/>
          <w:b/>
          <w:szCs w:val="21"/>
          <w:highlight w:val="none"/>
        </w:rPr>
      </w:pPr>
      <w:r>
        <w:rPr>
          <w:rFonts w:hint="eastAsia" w:ascii="宋体" w:hAnsi="宋体" w:cs="宋体"/>
          <w:b/>
          <w:szCs w:val="21"/>
          <w:highlight w:val="none"/>
        </w:rPr>
        <w:t>九、电子招标投标交易平台</w:t>
      </w:r>
    </w:p>
    <w:p w14:paraId="7ABC37E1">
      <w:pPr>
        <w:spacing w:line="360" w:lineRule="auto"/>
        <w:ind w:firstLine="480"/>
        <w:rPr>
          <w:rFonts w:hint="eastAsia" w:ascii="宋体" w:hAnsi="宋体" w:cs="宋体"/>
          <w:szCs w:val="21"/>
          <w:highlight w:val="none"/>
          <w:lang w:eastAsia="en-US"/>
        </w:rPr>
      </w:pPr>
      <w:r>
        <w:rPr>
          <w:rFonts w:hint="eastAsia" w:ascii="宋体" w:hAnsi="宋体" w:cs="宋体"/>
          <w:szCs w:val="21"/>
          <w:highlight w:val="none"/>
          <w:lang w:eastAsia="en-US"/>
        </w:rPr>
        <w:t>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szCs w:val="21"/>
          <w:highlight w:val="none"/>
          <w:lang w:eastAsia="en-US"/>
        </w:rPr>
        <w:t>http://jszfcg.jsczt.cn/）相关要求是本采购文件的组成部分。</w:t>
      </w:r>
      <w:r>
        <w:rPr>
          <w:rFonts w:hint="eastAsia" w:ascii="宋体" w:hAnsi="宋体" w:cs="宋体"/>
          <w:szCs w:val="21"/>
          <w:highlight w:val="none"/>
          <w:lang w:eastAsia="en-US"/>
        </w:rPr>
        <w:fldChar w:fldCharType="end"/>
      </w:r>
    </w:p>
    <w:p w14:paraId="21B8ACA6">
      <w:pPr>
        <w:spacing w:line="360" w:lineRule="auto"/>
        <w:ind w:firstLine="482"/>
        <w:rPr>
          <w:rFonts w:hint="eastAsia" w:ascii="宋体" w:hAnsi="宋体" w:cs="宋体"/>
          <w:b/>
          <w:szCs w:val="21"/>
          <w:highlight w:val="none"/>
        </w:rPr>
      </w:pPr>
      <w:r>
        <w:rPr>
          <w:rFonts w:hint="eastAsia" w:ascii="宋体" w:hAnsi="宋体" w:cs="宋体"/>
          <w:b/>
          <w:szCs w:val="21"/>
          <w:highlight w:val="none"/>
        </w:rPr>
        <w:t>十、履约保证金</w:t>
      </w:r>
    </w:p>
    <w:p w14:paraId="44C42429">
      <w:pPr>
        <w:spacing w:line="360" w:lineRule="auto"/>
        <w:ind w:firstLine="422" w:firstLineChars="200"/>
        <w:rPr>
          <w:rFonts w:hint="eastAsia" w:ascii="宋体" w:hAnsi="宋体" w:cs="宋体"/>
          <w:b/>
          <w:szCs w:val="21"/>
          <w:highlight w:val="none"/>
        </w:rPr>
      </w:pPr>
      <w:r>
        <w:rPr>
          <w:rFonts w:hint="eastAsia" w:ascii="宋体" w:hAnsi="宋体" w:cs="宋体"/>
          <w:b/>
          <w:szCs w:val="21"/>
          <w:highlight w:val="none"/>
        </w:rPr>
        <w:t>本项目不收取履约保证金。</w:t>
      </w:r>
    </w:p>
    <w:p w14:paraId="33AC1A27">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十一、质疑提出和处理</w:t>
      </w:r>
    </w:p>
    <w:p w14:paraId="6C741B2A">
      <w:pPr>
        <w:spacing w:line="360" w:lineRule="auto"/>
        <w:ind w:firstLine="480"/>
        <w:rPr>
          <w:rFonts w:hint="eastAsia" w:ascii="宋体" w:hAnsi="宋体" w:cs="宋体"/>
          <w:szCs w:val="21"/>
          <w:highlight w:val="none"/>
        </w:rPr>
      </w:pPr>
      <w:r>
        <w:rPr>
          <w:rFonts w:hint="eastAsia" w:ascii="宋体" w:hAnsi="宋体" w:cs="宋体"/>
          <w:szCs w:val="21"/>
          <w:highlight w:val="none"/>
        </w:rPr>
        <w:t>格式请在江苏政府采购网“下载中心——有关质疑资料”下载</w:t>
      </w:r>
    </w:p>
    <w:p w14:paraId="3D4301A9">
      <w:pPr>
        <w:spacing w:line="360" w:lineRule="auto"/>
        <w:ind w:firstLine="480"/>
        <w:rPr>
          <w:rFonts w:hint="eastAsia" w:ascii="宋体" w:hAnsi="宋体" w:cs="宋体"/>
          <w:szCs w:val="21"/>
          <w:highlight w:val="none"/>
        </w:rPr>
      </w:pPr>
      <w:r>
        <w:rPr>
          <w:rFonts w:hint="eastAsia" w:ascii="宋体" w:hAnsi="宋体" w:cs="宋体"/>
          <w:szCs w:val="21"/>
          <w:highlight w:val="none"/>
        </w:rPr>
        <w:t>（一）质疑的提出</w:t>
      </w:r>
    </w:p>
    <w:p w14:paraId="4EA37D58">
      <w:pPr>
        <w:tabs>
          <w:tab w:val="left" w:pos="900"/>
        </w:tabs>
        <w:spacing w:line="360" w:lineRule="auto"/>
        <w:ind w:firstLine="420" w:firstLineChars="200"/>
        <w:rPr>
          <w:rFonts w:hint="eastAsia" w:ascii="宋体" w:hAnsi="宋体"/>
          <w:szCs w:val="21"/>
          <w:highlight w:val="none"/>
        </w:rPr>
      </w:pPr>
      <w:r>
        <w:rPr>
          <w:rFonts w:hint="eastAsia" w:ascii="宋体" w:hAnsi="宋体" w:cs="宋体"/>
          <w:szCs w:val="21"/>
          <w:highlight w:val="none"/>
        </w:rPr>
        <w:t>1.</w:t>
      </w:r>
      <w:r>
        <w:rPr>
          <w:rFonts w:hint="eastAsia" w:ascii="宋体" w:hAnsi="宋体"/>
          <w:szCs w:val="21"/>
          <w:highlight w:val="none"/>
        </w:rPr>
        <w:t>磋商供应商认为磋商文件、采购过程和采购结果使自己的权益受到损害的，可以在知道或应知其权益受到损害之日起七个工作日内，以书面形式向代理机构或采购人提出质疑。上述应知其权益受到损害之日，是指：</w:t>
      </w:r>
    </w:p>
    <w:p w14:paraId="710C87B6">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对可以质疑的磋商文件提出质疑的，为收到磋商文件之日或者磋商文件公告期限届满之日；</w:t>
      </w:r>
    </w:p>
    <w:p w14:paraId="08BF3CCB">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w:t>
      </w:r>
      <w:r>
        <w:rPr>
          <w:rFonts w:ascii="宋体" w:hAnsi="宋体"/>
          <w:szCs w:val="21"/>
          <w:highlight w:val="none"/>
        </w:rPr>
        <w:t>对采购过程提出质疑的，为各采购程序环节结束之日；</w:t>
      </w:r>
    </w:p>
    <w:p w14:paraId="2B8BEBF9">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w:t>
      </w:r>
      <w:r>
        <w:rPr>
          <w:rFonts w:ascii="宋体" w:hAnsi="宋体"/>
          <w:szCs w:val="21"/>
          <w:highlight w:val="none"/>
        </w:rPr>
        <w:t>对成交结果提出质疑的，为成交结果公告期限届满之日。</w:t>
      </w:r>
    </w:p>
    <w:p w14:paraId="31E87A16">
      <w:pPr>
        <w:spacing w:line="360" w:lineRule="auto"/>
        <w:ind w:firstLine="482"/>
        <w:rPr>
          <w:rFonts w:hint="eastAsia" w:ascii="宋体" w:hAnsi="宋体" w:cs="宋体"/>
          <w:b/>
          <w:szCs w:val="21"/>
          <w:highlight w:val="none"/>
        </w:rPr>
      </w:pPr>
      <w:r>
        <w:rPr>
          <w:rFonts w:hint="eastAsia" w:ascii="宋体" w:hAnsi="宋体" w:cs="宋体"/>
          <w:b/>
          <w:szCs w:val="21"/>
          <w:highlight w:val="none"/>
        </w:rPr>
        <w:t>其中：对评审过程中涉及的身份核对、澄清等程序性事项，供应商如有异议的，必须当场提出。否则，均视为供应商无异议。无论是否成交，供应商事后不得再就前述事项提出任何异议或质疑投诉。</w:t>
      </w:r>
    </w:p>
    <w:p w14:paraId="3EA07489">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2.质疑必须由磋商供应商法定代表人或授权代表（响应文件中所确定的）以原件送达的方式提交，未按上述要求提交的质疑函（含传真、电子邮件等）代理机构有权不予受理。</w:t>
      </w:r>
    </w:p>
    <w:p w14:paraId="2CA37DBE">
      <w:pPr>
        <w:spacing w:line="360" w:lineRule="auto"/>
        <w:ind w:firstLine="480"/>
        <w:rPr>
          <w:rFonts w:hint="eastAsia" w:ascii="宋体" w:hAnsi="宋体" w:cs="宋体"/>
          <w:szCs w:val="21"/>
          <w:highlight w:val="none"/>
        </w:rPr>
      </w:pPr>
      <w:r>
        <w:rPr>
          <w:rFonts w:hint="eastAsia" w:ascii="宋体" w:hAnsi="宋体"/>
          <w:szCs w:val="21"/>
          <w:highlight w:val="none"/>
        </w:rPr>
        <w:t>3.未参加磋商采购活动的供应商或在磋商采购活动中自身权益未受到损害的供应商所提出的质疑不予受理。</w:t>
      </w:r>
      <w:r>
        <w:rPr>
          <w:rFonts w:hint="eastAsia" w:ascii="宋体" w:hAnsi="宋体" w:cs="宋体"/>
          <w:szCs w:val="21"/>
          <w:highlight w:val="none"/>
        </w:rPr>
        <w:t>响应文件接收截止后，供应商未进行磋商登记的，不能就响应文件接收截止后的招投标过程、成交结果质疑；在磋商过程中，凡主持人或评审小组明确提出须由供应商确认的事项，供应商当场无异议的，事后不得质疑。</w:t>
      </w:r>
    </w:p>
    <w:p w14:paraId="171BB0ED">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4.质疑函应当包括下列内容：</w:t>
      </w:r>
    </w:p>
    <w:p w14:paraId="1C5F31D7">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（1）质疑供应商的名称、地址、邮编、联系人、联系电话；</w:t>
      </w:r>
    </w:p>
    <w:p w14:paraId="0B07D25C">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（2）具体的质疑事项及明确的请求；</w:t>
      </w:r>
    </w:p>
    <w:p w14:paraId="461DD150">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（3）认为自己合法权益受到损害或可能受到损害的相关证据材料；</w:t>
      </w:r>
    </w:p>
    <w:p w14:paraId="00F3C541">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（4）提起质疑的日期；</w:t>
      </w:r>
    </w:p>
    <w:p w14:paraId="22E30444">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p>
    <w:p w14:paraId="7A275A46">
      <w:pPr>
        <w:spacing w:line="360" w:lineRule="auto"/>
        <w:ind w:firstLine="480"/>
        <w:rPr>
          <w:rFonts w:hint="eastAsia" w:ascii="宋体" w:hAnsi="宋体" w:cs="宋体"/>
          <w:szCs w:val="21"/>
          <w:highlight w:val="none"/>
        </w:rPr>
      </w:pPr>
      <w:r>
        <w:rPr>
          <w:rFonts w:hint="eastAsia" w:ascii="宋体" w:hAnsi="宋体" w:cs="宋体"/>
          <w:szCs w:val="21"/>
          <w:highlight w:val="none"/>
        </w:rPr>
        <w:t>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p>
    <w:p w14:paraId="52BF3643">
      <w:pPr>
        <w:spacing w:line="360" w:lineRule="auto"/>
        <w:ind w:firstLine="480"/>
        <w:rPr>
          <w:rFonts w:hint="eastAsia" w:ascii="宋体" w:hAnsi="宋体" w:cs="宋体"/>
          <w:szCs w:val="21"/>
          <w:highlight w:val="none"/>
        </w:rPr>
      </w:pPr>
      <w:r>
        <w:rPr>
          <w:rFonts w:hint="eastAsia" w:ascii="宋体" w:hAnsi="宋体" w:cs="宋体"/>
          <w:szCs w:val="21"/>
          <w:highlight w:val="none"/>
        </w:rPr>
        <w:t>6.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0C91901E">
      <w:pPr>
        <w:spacing w:line="360" w:lineRule="auto"/>
        <w:ind w:firstLine="480"/>
        <w:rPr>
          <w:rFonts w:hint="eastAsia" w:ascii="宋体" w:hAnsi="宋体" w:cs="宋体"/>
          <w:szCs w:val="21"/>
          <w:highlight w:val="none"/>
        </w:rPr>
      </w:pPr>
      <w:r>
        <w:rPr>
          <w:rFonts w:hint="eastAsia" w:ascii="宋体" w:hAnsi="宋体" w:cs="宋体"/>
          <w:szCs w:val="21"/>
          <w:highlight w:val="none"/>
        </w:rPr>
        <w:t>对不能提供相关佐证材料的、涉及商业秘密的、非书面形式的、非送达的、匿名的《质疑函》将不予受理。</w:t>
      </w:r>
    </w:p>
    <w:p w14:paraId="47529854">
      <w:pPr>
        <w:spacing w:line="360" w:lineRule="auto"/>
        <w:ind w:firstLine="480"/>
        <w:rPr>
          <w:rFonts w:hint="eastAsia" w:ascii="宋体" w:hAnsi="宋体" w:cs="宋体"/>
          <w:szCs w:val="21"/>
          <w:highlight w:val="none"/>
        </w:rPr>
      </w:pPr>
      <w:r>
        <w:rPr>
          <w:rFonts w:hint="eastAsia" w:ascii="宋体" w:hAnsi="宋体" w:cs="宋体"/>
          <w:szCs w:val="21"/>
          <w:highlight w:val="none"/>
        </w:rPr>
        <w:t>相关佐证材料要具备客观性、关联性、合法性，无法查实的（如宣传册、媒体报道、猜测、推理等）不能作为佐证材料。</w:t>
      </w:r>
    </w:p>
    <w:p w14:paraId="46AAA8A7">
      <w:pPr>
        <w:spacing w:line="360" w:lineRule="auto"/>
        <w:ind w:firstLine="480"/>
        <w:rPr>
          <w:rFonts w:hint="eastAsia" w:ascii="宋体" w:hAnsi="宋体" w:cs="宋体"/>
          <w:szCs w:val="21"/>
          <w:highlight w:val="none"/>
        </w:rPr>
      </w:pPr>
      <w:r>
        <w:rPr>
          <w:rFonts w:hint="eastAsia" w:ascii="宋体" w:hAnsi="宋体" w:cs="宋体"/>
          <w:szCs w:val="21"/>
          <w:highlight w:val="none"/>
        </w:rPr>
        <w:t>采购单位或采购代理机构不负责搜集相关佐证材料等工作。</w:t>
      </w:r>
    </w:p>
    <w:p w14:paraId="1C14FC37">
      <w:pPr>
        <w:spacing w:line="360" w:lineRule="auto"/>
        <w:ind w:firstLine="480"/>
        <w:rPr>
          <w:rFonts w:hint="eastAsia" w:ascii="宋体" w:hAnsi="宋体" w:cs="宋体"/>
          <w:szCs w:val="21"/>
          <w:highlight w:val="none"/>
        </w:rPr>
      </w:pPr>
      <w:r>
        <w:rPr>
          <w:rFonts w:hint="eastAsia" w:ascii="宋体" w:hAnsi="宋体" w:cs="宋体"/>
          <w:szCs w:val="21"/>
          <w:highlight w:val="none"/>
        </w:rPr>
        <w:t>（二）《质疑函》的受理和回复</w:t>
      </w:r>
    </w:p>
    <w:p w14:paraId="6C1C92E2">
      <w:pPr>
        <w:spacing w:line="360" w:lineRule="auto"/>
        <w:ind w:firstLine="480"/>
        <w:rPr>
          <w:rFonts w:hint="eastAsia" w:ascii="宋体" w:hAnsi="宋体" w:cs="宋体"/>
          <w:szCs w:val="21"/>
          <w:highlight w:val="none"/>
        </w:rPr>
      </w:pPr>
      <w:r>
        <w:rPr>
          <w:rFonts w:hint="eastAsia" w:ascii="宋体" w:hAnsi="宋体" w:cs="宋体"/>
          <w:szCs w:val="21"/>
          <w:highlight w:val="none"/>
        </w:rPr>
        <w:t>1.《质疑函》须由质疑人的法定代表人或参加本次磋商被授权人送达采购单位和采购代理机构。质疑答复依据《政府采购质疑和投诉办法》（财政部令第94号）。采购人或采购代理机构质疑接收人及联系方式，见磋商</w:t>
      </w:r>
      <w:r>
        <w:rPr>
          <w:rFonts w:hint="eastAsia"/>
          <w:szCs w:val="21"/>
          <w:highlight w:val="none"/>
        </w:rPr>
        <w:t>文件第一部分。</w:t>
      </w:r>
    </w:p>
    <w:p w14:paraId="1F3BDE31">
      <w:pPr>
        <w:spacing w:line="360" w:lineRule="auto"/>
        <w:ind w:firstLine="480"/>
        <w:rPr>
          <w:rFonts w:hint="eastAsia" w:ascii="宋体" w:hAnsi="宋体" w:cs="宋体"/>
          <w:szCs w:val="21"/>
          <w:highlight w:val="none"/>
        </w:rPr>
      </w:pPr>
      <w:r>
        <w:rPr>
          <w:rFonts w:hint="eastAsia" w:ascii="宋体" w:hAnsi="宋体" w:cs="宋体"/>
          <w:szCs w:val="21"/>
          <w:highlight w:val="none"/>
        </w:rPr>
        <w:t>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56C7BB77">
      <w:pPr>
        <w:spacing w:line="360" w:lineRule="auto"/>
        <w:ind w:firstLine="480"/>
        <w:rPr>
          <w:rFonts w:hint="eastAsia" w:ascii="宋体" w:hAnsi="宋体" w:cs="宋体"/>
          <w:szCs w:val="21"/>
          <w:highlight w:val="none"/>
        </w:rPr>
      </w:pPr>
      <w:r>
        <w:rPr>
          <w:rFonts w:hint="eastAsia" w:ascii="宋体" w:hAnsi="宋体" w:cs="宋体"/>
          <w:szCs w:val="21"/>
          <w:highlight w:val="none"/>
        </w:rPr>
        <w:t>3.对不符合质疑要求的，出具《质疑退回通知书》并提出相关补充材料要求，质疑人未在规定的时间内提供补充佐证材料的，视同放弃质疑。</w:t>
      </w:r>
    </w:p>
    <w:p w14:paraId="476FB0E0">
      <w:pPr>
        <w:spacing w:line="360" w:lineRule="auto"/>
        <w:ind w:firstLine="480"/>
        <w:rPr>
          <w:rFonts w:hint="eastAsia" w:ascii="宋体" w:hAnsi="宋体" w:cs="宋体"/>
          <w:szCs w:val="21"/>
          <w:highlight w:val="none"/>
        </w:rPr>
      </w:pPr>
      <w:r>
        <w:rPr>
          <w:rFonts w:hint="eastAsia" w:ascii="宋体" w:hAnsi="宋体" w:cs="宋体"/>
          <w:szCs w:val="21"/>
          <w:highlight w:val="none"/>
        </w:rPr>
        <w:t>4.采购单位、采购代理机构负责将质疑人提出的质疑相关材料提供给相关专家或评审小组审核，并将审核意见回复质疑人。</w:t>
      </w:r>
    </w:p>
    <w:p w14:paraId="22E169C1">
      <w:pPr>
        <w:spacing w:line="360" w:lineRule="auto"/>
        <w:ind w:firstLine="480"/>
        <w:rPr>
          <w:rFonts w:hint="eastAsia" w:ascii="宋体" w:hAnsi="宋体" w:cs="宋体"/>
          <w:szCs w:val="21"/>
          <w:highlight w:val="none"/>
        </w:rPr>
      </w:pPr>
      <w:r>
        <w:rPr>
          <w:rFonts w:hint="eastAsia" w:ascii="宋体" w:hAnsi="宋体" w:cs="宋体"/>
          <w:szCs w:val="21"/>
          <w:highlight w:val="none"/>
        </w:rPr>
        <w:t>5.因质疑情况复杂，组织论证或审查时间较长的，采购单位、采购代理机构以书面形式通知质疑人，可适当延长质疑回复处理时间。</w:t>
      </w:r>
    </w:p>
    <w:p w14:paraId="3CA2C590">
      <w:pPr>
        <w:spacing w:line="360" w:lineRule="auto"/>
        <w:ind w:firstLine="480"/>
        <w:rPr>
          <w:rFonts w:hint="eastAsia" w:ascii="宋体" w:hAnsi="宋体" w:cs="宋体"/>
          <w:szCs w:val="21"/>
          <w:highlight w:val="none"/>
        </w:rPr>
      </w:pPr>
      <w:r>
        <w:rPr>
          <w:rFonts w:hint="eastAsia" w:ascii="宋体" w:hAnsi="宋体" w:cs="宋体"/>
          <w:szCs w:val="21"/>
          <w:highlight w:val="none"/>
        </w:rPr>
        <w:t>（三）质疑处理</w:t>
      </w:r>
    </w:p>
    <w:p w14:paraId="4B8204D8">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1.代理机构收到质疑函后，将对质疑函的形式和内容进行审查，如质疑函内容、格式不符合规定，代理机构将告知质疑人进行补正。</w:t>
      </w:r>
    </w:p>
    <w:p w14:paraId="5600C303">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2.质疑人应当在法定质疑期限内进行补正并重新提交质疑函，拒不补正或者在法定期限内未重新提交质疑函的，为无效质疑，代理机构有权不予受理。</w:t>
      </w:r>
    </w:p>
    <w:p w14:paraId="76461D2F">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3.对于内容、格式符合规定的质疑函，代理机构将在收到参加磋商供应商的书面质疑后七个工作日内作出答复，并以书面形式通知质疑供应商和其他相关供应商，答复的内容不涉及商业秘密。</w:t>
      </w:r>
    </w:p>
    <w:p w14:paraId="7ADA7EC5">
      <w:pPr>
        <w:tabs>
          <w:tab w:val="left" w:pos="900"/>
        </w:tabs>
        <w:spacing w:line="360" w:lineRule="auto"/>
        <w:ind w:firstLine="420" w:firstLineChars="200"/>
        <w:rPr>
          <w:rFonts w:hint="eastAsia" w:ascii="宋体" w:hAnsi="宋体"/>
          <w:szCs w:val="21"/>
          <w:highlight w:val="none"/>
        </w:rPr>
      </w:pPr>
      <w:r>
        <w:rPr>
          <w:rFonts w:hint="eastAsia" w:ascii="宋体" w:hAnsi="宋体"/>
          <w:szCs w:val="21"/>
          <w:highlight w:val="none"/>
        </w:rPr>
        <w:t>4.供应商提出书面质疑必须有理、有据，不得恶意质疑或提交虚假质疑。否则，一经查实，代理机构有权依据政府采购的有关规定，报请政府采购监管部门对该供应商进行相应的行政处罚。</w:t>
      </w:r>
    </w:p>
    <w:p w14:paraId="2B3E3E95">
      <w:pPr>
        <w:spacing w:line="360" w:lineRule="auto"/>
        <w:rPr>
          <w:rFonts w:hint="eastAsia" w:ascii="宋体" w:hAnsi="宋体"/>
          <w:b/>
          <w:szCs w:val="21"/>
          <w:highlight w:val="none"/>
        </w:rPr>
      </w:pPr>
      <w:r>
        <w:rPr>
          <w:rFonts w:hint="eastAsia" w:ascii="宋体" w:hAnsi="宋体"/>
          <w:b/>
          <w:szCs w:val="21"/>
          <w:highlight w:val="none"/>
        </w:rPr>
        <w:t>十二、其他事项说明：</w:t>
      </w:r>
    </w:p>
    <w:p w14:paraId="0DF3AD14">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采购项目需要落实的政府采购相关法律法规及政策：</w:t>
      </w:r>
    </w:p>
    <w:p w14:paraId="58438EAA">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1.《中华人民共和国政府采购法》</w:t>
      </w:r>
    </w:p>
    <w:p w14:paraId="32C4E4A7">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2.《中华人民共和国政府采购法实施条例》</w:t>
      </w:r>
    </w:p>
    <w:p w14:paraId="4684ACCA">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3.《政府采购竞争性磋商采购方式管理办法》</w:t>
      </w:r>
    </w:p>
    <w:p w14:paraId="6AE59E37">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 xml:space="preserve">4.政府采购促进中小企业发展办法的通知——财库〔2020〕46号 </w:t>
      </w:r>
    </w:p>
    <w:p w14:paraId="05F3A636">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4.1若本项目专门面向中小微企业，不再进行价格扣除。</w:t>
      </w:r>
    </w:p>
    <w:p w14:paraId="6F3C0D67">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4.2若本项目不专门面向中小微企业，执行以下政策：</w:t>
      </w:r>
    </w:p>
    <w:p w14:paraId="6DDB1390">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4.2.1供应商需按照采购文件的要求提供相应的《小微企业声明函》。</w:t>
      </w:r>
    </w:p>
    <w:p w14:paraId="088A71ED">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企业标准请参照《关于印发中小企业划型标准规定的通知》（工信部联企业〔2011〕300号）文件规定自行填写。</w:t>
      </w:r>
    </w:p>
    <w:p w14:paraId="42415941">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4.2.2监狱和戒毒企业</w:t>
      </w:r>
    </w:p>
    <w:p w14:paraId="6009E961">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（1）监狱企业参加政府采购活动时，需提供由省级以上监狱管理局、戒毒管理局（含新疆生产建设兵团）出具的属于监狱企业的证明文件。</w:t>
      </w:r>
    </w:p>
    <w:p w14:paraId="774B151D">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（2）监狱企业标准请参照《关于政府采购支持监狱企业发展有关问题的通知》（财库〔2014〕68号）。</w:t>
      </w:r>
    </w:p>
    <w:p w14:paraId="1675E270">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4.2.3残疾人福利单位</w:t>
      </w:r>
    </w:p>
    <w:p w14:paraId="437CA18D">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（1）残疾人福利单位需按照采购文件的要求提供《残疾人福利性单位声明函》。</w:t>
      </w:r>
    </w:p>
    <w:p w14:paraId="1F4E8746">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（2）残疾人福利单位标准请参照《关于促进残疾人就业政府采购政策的通知》（财库〔2017〕141号）。</w:t>
      </w:r>
    </w:p>
    <w:p w14:paraId="22A8553C">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5.残疾人福利单位、监狱企业属于小型、微型企业的，不重复享受政策。</w:t>
      </w:r>
    </w:p>
    <w:p w14:paraId="2EDA993E">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1335AD14">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联合体各方均为小型、微型企业（残疾人福利单位、监狱企业）的，联合体享受10%（备注：与小微型企业价格扣除数值保持一致。确定后该备注删除）价格扣除，用扣除后的价格参与评审。</w:t>
      </w:r>
    </w:p>
    <w:p w14:paraId="0D3D8BAB">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7.《江苏省财政厅关于进一步加大政府采购支持中小企业力度的通知》苏财购〔2022〕45号</w:t>
      </w:r>
    </w:p>
    <w:p w14:paraId="0D23E9D4">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8.根据《江苏省财政厅关于加强政府绿色采购有关事项的通知》（苏财购〔2023〕65号）文件精神，严格落实政府绿色采购的各项要求。</w:t>
      </w:r>
    </w:p>
    <w:p w14:paraId="35CE212A">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9.节能环保</w:t>
      </w:r>
    </w:p>
    <w:p w14:paraId="3FDB161C">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本项目中如有涉及节能环保产品要求的，应当按照《财政部、发展改革委、生态环境部、市场监管总局关于调整优化节能产品、环境标志产品政府采购执行机制的通知》（财库〔2019〕9号）文件执行。</w:t>
      </w:r>
    </w:p>
    <w:p w14:paraId="52EBFF72">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10.需求标准</w:t>
      </w:r>
    </w:p>
    <w:p w14:paraId="42B398FF">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本项目中如有涉及商品包装、快递包装的，应当按照《关于印发〈商品包装政府采购需求标准（试行）〉、〈快递包装政府采购需求标准（试行）〉的通知》（财办库〔2020〕123号）文件执行。</w:t>
      </w:r>
    </w:p>
    <w:p w14:paraId="7F014DA4">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本项目中如有涉及采购数据中心相关设备、运维服务的，应当按照《关于印发〈绿色数据中心政府采购需求标准（试行）〉的通知》（财办库〔2023〕7号）文件执行。</w:t>
      </w:r>
    </w:p>
    <w:p w14:paraId="700C9911">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p>
    <w:p w14:paraId="2E591132">
      <w:pPr>
        <w:snapToGrid w:val="0"/>
        <w:spacing w:line="360" w:lineRule="auto"/>
        <w:ind w:firstLine="420" w:firstLineChars="200"/>
        <w:textAlignment w:val="baseline"/>
        <w:rPr>
          <w:rFonts w:hint="eastAsia" w:ascii="宋体" w:hAnsi="宋体" w:cs="宋体"/>
          <w:highlight w:val="none"/>
        </w:rPr>
      </w:pPr>
      <w:r>
        <w:rPr>
          <w:rFonts w:hint="eastAsia" w:ascii="宋体" w:hAnsi="宋体" w:cs="宋体"/>
          <w:highlight w:val="none"/>
        </w:rPr>
        <w:t>11.</w:t>
      </w:r>
      <w:r>
        <w:rPr>
          <w:rFonts w:hint="eastAsia" w:ascii="宋体" w:hAnsi="宋体" w:cs="宋体"/>
          <w:szCs w:val="21"/>
          <w:highlight w:val="none"/>
        </w:rPr>
        <w:t>《关于推动解决政府采购异常低价问题相关工作的通知》（苏财购〔2025〕62号）。</w:t>
      </w:r>
    </w:p>
    <w:p w14:paraId="29F573EC">
      <w:pPr>
        <w:snapToGrid w:val="0"/>
        <w:spacing w:line="360" w:lineRule="auto"/>
        <w:ind w:firstLine="420" w:firstLineChars="200"/>
        <w:textAlignment w:val="baseline"/>
        <w:rPr>
          <w:rFonts w:hint="eastAsia" w:ascii="宋体" w:hAnsi="宋体" w:cs="宋体"/>
          <w:highlight w:val="none"/>
        </w:rPr>
        <w:sectPr>
          <w:footerReference r:id="rId7" w:type="default"/>
          <w:pgSz w:w="11906" w:h="16838"/>
          <w:pgMar w:top="1440" w:right="1080" w:bottom="1440" w:left="1080" w:header="851" w:footer="992" w:gutter="0"/>
          <w:cols w:space="720" w:num="1"/>
          <w:docGrid w:type="lines" w:linePitch="312" w:charSpace="0"/>
        </w:sectPr>
      </w:pPr>
      <w:r>
        <w:rPr>
          <w:rFonts w:hint="eastAsia" w:ascii="宋体" w:hAnsi="宋体" w:cs="宋体"/>
          <w:highlight w:val="none"/>
        </w:rPr>
        <w:t>12.</w:t>
      </w:r>
      <w:r>
        <w:rPr>
          <w:rFonts w:ascii="宋体" w:hAnsi="宋体" w:cs="宋体"/>
          <w:highlight w:val="none"/>
        </w:rPr>
        <w:t>成交供应商</w:t>
      </w:r>
      <w:r>
        <w:rPr>
          <w:rFonts w:hint="eastAsia" w:ascii="宋体" w:hAnsi="宋体" w:cs="宋体"/>
          <w:highlight w:val="none"/>
        </w:rPr>
        <w:t>可凭政府采购合同办理融资贷款，详情请见泰州市政府采购网“政采贷”专栏。</w:t>
      </w:r>
    </w:p>
    <w:p w14:paraId="486CE685">
      <w:pPr>
        <w:pStyle w:val="5"/>
        <w:numPr>
          <w:ilvl w:val="0"/>
          <w:numId w:val="2"/>
        </w:numPr>
        <w:spacing w:line="360" w:lineRule="auto"/>
        <w:ind w:firstLine="422" w:firstLineChars="200"/>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 合同条款及格式</w:t>
      </w:r>
      <w:bookmarkEnd w:id="90"/>
    </w:p>
    <w:p w14:paraId="14D46897">
      <w:pPr>
        <w:pStyle w:val="30"/>
        <w:tabs>
          <w:tab w:val="left" w:pos="1050"/>
          <w:tab w:val="right" w:leader="dot" w:pos="9402"/>
        </w:tabs>
        <w:spacing w:line="360" w:lineRule="auto"/>
        <w:ind w:left="0"/>
        <w:jc w:val="center"/>
        <w:outlineLvl w:val="0"/>
        <w:rPr>
          <w:rFonts w:hint="eastAsia" w:ascii="宋体" w:hAnsi="宋体" w:cs="宋体"/>
          <w:b/>
          <w:iCs/>
          <w:szCs w:val="21"/>
          <w:highlight w:val="none"/>
        </w:rPr>
      </w:pPr>
      <w:r>
        <w:rPr>
          <w:rFonts w:hint="eastAsia" w:ascii="宋体" w:hAnsi="宋体" w:cs="宋体"/>
          <w:b/>
          <w:iCs/>
          <w:szCs w:val="21"/>
          <w:highlight w:val="none"/>
        </w:rPr>
        <w:t xml:space="preserve"> 合同授予</w:t>
      </w:r>
    </w:p>
    <w:p w14:paraId="33BD2E64">
      <w:pPr>
        <w:spacing w:line="360" w:lineRule="auto"/>
        <w:ind w:firstLine="480"/>
        <w:rPr>
          <w:rFonts w:hint="eastAsia" w:ascii="宋体" w:hAnsi="宋体" w:cs="宋体"/>
          <w:szCs w:val="21"/>
          <w:highlight w:val="none"/>
        </w:rPr>
      </w:pPr>
      <w:r>
        <w:rPr>
          <w:rFonts w:hint="eastAsia" w:ascii="宋体" w:hAnsi="宋体" w:cs="宋体"/>
          <w:szCs w:val="21"/>
          <w:highlight w:val="none"/>
        </w:rPr>
        <w:t>一、成交供应商在《成交通知书》</w:t>
      </w:r>
      <w:r>
        <w:rPr>
          <w:rFonts w:hint="eastAsia" w:ascii="宋体" w:hAnsi="宋体" w:cs="宋体"/>
          <w:bCs/>
          <w:szCs w:val="21"/>
          <w:highlight w:val="none"/>
        </w:rPr>
        <w:t>发出后30日</w:t>
      </w:r>
      <w:r>
        <w:rPr>
          <w:rFonts w:hint="eastAsia" w:ascii="宋体" w:hAnsi="宋体" w:cs="宋体"/>
          <w:szCs w:val="21"/>
          <w:highlight w:val="none"/>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背离磋商文件实质性内容的协议。 </w:t>
      </w:r>
    </w:p>
    <w:p w14:paraId="7BA97B61">
      <w:pPr>
        <w:spacing w:line="360" w:lineRule="auto"/>
        <w:ind w:firstLine="480"/>
        <w:rPr>
          <w:rFonts w:hint="eastAsia" w:ascii="宋体" w:hAnsi="宋体" w:cs="宋体"/>
          <w:szCs w:val="21"/>
          <w:highlight w:val="none"/>
        </w:rPr>
      </w:pPr>
      <w:r>
        <w:rPr>
          <w:rFonts w:hint="eastAsia" w:ascii="宋体" w:hAnsi="宋体" w:cs="宋体"/>
          <w:szCs w:val="21"/>
          <w:highlight w:val="none"/>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p>
    <w:p w14:paraId="2FEF3C43">
      <w:pPr>
        <w:spacing w:line="360" w:lineRule="auto"/>
        <w:ind w:firstLine="480"/>
        <w:rPr>
          <w:rFonts w:hint="eastAsia" w:ascii="宋体" w:hAnsi="宋体" w:cs="宋体"/>
          <w:szCs w:val="21"/>
          <w:highlight w:val="none"/>
        </w:rPr>
      </w:pPr>
      <w:r>
        <w:rPr>
          <w:rFonts w:hint="eastAsia" w:ascii="宋体" w:hAnsi="宋体" w:cs="宋体"/>
          <w:szCs w:val="21"/>
          <w:highlight w:val="none"/>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07E7B248">
      <w:pPr>
        <w:spacing w:line="360" w:lineRule="auto"/>
        <w:ind w:firstLine="480"/>
        <w:rPr>
          <w:rFonts w:hint="eastAsia" w:ascii="宋体" w:hAnsi="宋体" w:cs="宋体"/>
          <w:szCs w:val="21"/>
          <w:highlight w:val="none"/>
        </w:rPr>
      </w:pPr>
      <w:r>
        <w:rPr>
          <w:rFonts w:hint="eastAsia" w:ascii="宋体" w:hAnsi="宋体" w:cs="宋体"/>
          <w:szCs w:val="21"/>
          <w:highlight w:val="none"/>
        </w:rPr>
        <w:t>四、成交供应商出现违约情形，应当及时纠正或补偿；造成损失的，按照合同约定追究违约责任；发现有假冒、伪劣、走私产品、商业贿赂等违法情形的，应由采购单位移交工商、质监、公安等行政执法部门依法查处。</w:t>
      </w:r>
    </w:p>
    <w:p w14:paraId="5EAF22C3">
      <w:pPr>
        <w:spacing w:line="360" w:lineRule="auto"/>
        <w:ind w:firstLine="480"/>
        <w:rPr>
          <w:rFonts w:hint="eastAsia" w:ascii="宋体" w:hAnsi="宋体" w:cs="宋体"/>
          <w:szCs w:val="21"/>
          <w:highlight w:val="none"/>
        </w:rPr>
      </w:pPr>
      <w:r>
        <w:rPr>
          <w:rFonts w:hint="eastAsia" w:ascii="宋体" w:hAnsi="宋体" w:cs="宋体"/>
          <w:szCs w:val="21"/>
          <w:highlight w:val="none"/>
        </w:rPr>
        <w:t>五、按政府采购合同约定支付的合同款，实行财政国库直接支付。</w:t>
      </w:r>
    </w:p>
    <w:p w14:paraId="7FD56BED">
      <w:pPr>
        <w:spacing w:line="360" w:lineRule="auto"/>
        <w:ind w:firstLine="480"/>
        <w:rPr>
          <w:rFonts w:hint="eastAsia" w:ascii="宋体" w:hAnsi="宋体" w:cs="宋体"/>
          <w:szCs w:val="21"/>
          <w:highlight w:val="none"/>
        </w:rPr>
      </w:pPr>
      <w:r>
        <w:rPr>
          <w:rFonts w:hint="eastAsia" w:ascii="宋体" w:hAnsi="宋体" w:cs="宋体"/>
          <w:szCs w:val="21"/>
          <w:highlight w:val="none"/>
        </w:rPr>
        <w:t>六、不响应付款方式的，视同响应文件无效，按无效响应文件处理。</w:t>
      </w:r>
    </w:p>
    <w:p w14:paraId="399A622D">
      <w:pPr>
        <w:spacing w:line="360" w:lineRule="auto"/>
        <w:ind w:firstLine="480"/>
        <w:rPr>
          <w:rFonts w:hint="eastAsia" w:ascii="宋体" w:hAnsi="宋体" w:cs="宋体"/>
          <w:szCs w:val="21"/>
          <w:highlight w:val="none"/>
        </w:rPr>
      </w:pPr>
      <w:r>
        <w:rPr>
          <w:rFonts w:hint="eastAsia" w:ascii="宋体" w:hAnsi="宋体" w:cs="宋体"/>
          <w:szCs w:val="21"/>
          <w:highlight w:val="none"/>
        </w:rPr>
        <w:t>七、付款方式详见磋商文件第四章。</w:t>
      </w:r>
    </w:p>
    <w:p w14:paraId="72B53495">
      <w:pPr>
        <w:spacing w:line="360" w:lineRule="auto"/>
        <w:ind w:firstLine="480"/>
        <w:rPr>
          <w:rFonts w:hint="eastAsia" w:ascii="宋体" w:hAnsi="宋体" w:cs="宋体"/>
          <w:szCs w:val="21"/>
          <w:highlight w:val="none"/>
        </w:rPr>
      </w:pPr>
      <w:r>
        <w:rPr>
          <w:rFonts w:hint="eastAsia" w:ascii="宋体" w:hAnsi="宋体" w:cs="宋体"/>
          <w:szCs w:val="21"/>
          <w:highlight w:val="none"/>
        </w:rPr>
        <w:t>八、项目款的支付不计息。</w:t>
      </w:r>
    </w:p>
    <w:p w14:paraId="2CAF28F9">
      <w:pPr>
        <w:spacing w:line="360" w:lineRule="auto"/>
        <w:rPr>
          <w:highlight w:val="none"/>
        </w:rPr>
      </w:pPr>
    </w:p>
    <w:p w14:paraId="56C3A136">
      <w:pPr>
        <w:spacing w:line="360" w:lineRule="auto"/>
        <w:rPr>
          <w:highlight w:val="none"/>
        </w:rPr>
      </w:pPr>
    </w:p>
    <w:p w14:paraId="2A0C7CC5">
      <w:pPr>
        <w:pStyle w:val="31"/>
        <w:spacing w:before="0" w:after="0" w:line="360" w:lineRule="auto"/>
        <w:jc w:val="center"/>
        <w:rPr>
          <w:rFonts w:hint="eastAsia" w:ascii="宋体" w:hAnsi="宋体" w:cs="宋体"/>
          <w:sz w:val="21"/>
          <w:szCs w:val="21"/>
          <w:highlight w:val="none"/>
        </w:rPr>
        <w:sectPr>
          <w:pgSz w:w="11906" w:h="16838"/>
          <w:pgMar w:top="1440" w:right="1080" w:bottom="1440" w:left="1080" w:header="851" w:footer="992" w:gutter="0"/>
          <w:cols w:space="720" w:num="1"/>
          <w:docGrid w:type="lines" w:linePitch="312" w:charSpace="0"/>
        </w:sectPr>
      </w:pPr>
      <w:bookmarkStart w:id="92" w:name="_Toc87985472"/>
      <w:bookmarkStart w:id="93" w:name="_Toc498006744"/>
    </w:p>
    <w:p w14:paraId="3C1B577A">
      <w:pPr>
        <w:pStyle w:val="46"/>
        <w:spacing w:line="360" w:lineRule="auto"/>
        <w:ind w:firstLine="210"/>
        <w:jc w:val="center"/>
        <w:rPr>
          <w:rFonts w:hint="eastAsia" w:ascii="黑体" w:hAnsi="宋体" w:eastAsia="黑体"/>
          <w:b/>
          <w:sz w:val="32"/>
          <w:szCs w:val="32"/>
          <w:highlight w:val="none"/>
        </w:rPr>
      </w:pPr>
      <w:bookmarkStart w:id="94" w:name="_Toc86268902"/>
      <w:r>
        <w:rPr>
          <w:rFonts w:hint="eastAsia" w:ascii="黑体" w:hAnsi="宋体" w:eastAsia="黑体"/>
          <w:b/>
          <w:sz w:val="32"/>
          <w:szCs w:val="32"/>
          <w:highlight w:val="none"/>
          <w:lang w:eastAsia="zh-CN"/>
        </w:rPr>
        <w:t>“中国医药城大健康产业论坛”策划执行服务项目</w:t>
      </w:r>
      <w:r>
        <w:rPr>
          <w:rFonts w:hint="eastAsia" w:ascii="黑体" w:hAnsi="宋体" w:eastAsia="黑体"/>
          <w:b/>
          <w:sz w:val="32"/>
          <w:szCs w:val="32"/>
          <w:highlight w:val="none"/>
        </w:rPr>
        <w:t>合同</w:t>
      </w:r>
    </w:p>
    <w:p w14:paraId="7FF7A8DA">
      <w:pPr>
        <w:pStyle w:val="47"/>
        <w:spacing w:line="360" w:lineRule="auto"/>
        <w:jc w:val="center"/>
        <w:rPr>
          <w:rFonts w:hint="eastAsia" w:ascii="黑体" w:hAnsi="宋体" w:eastAsia="黑体"/>
          <w:b/>
          <w:sz w:val="32"/>
          <w:szCs w:val="32"/>
          <w:highlight w:val="none"/>
          <w:lang w:eastAsia="zh-CN"/>
        </w:rPr>
      </w:pPr>
      <w:r>
        <w:rPr>
          <w:rFonts w:hint="eastAsia" w:ascii="黑体" w:hAnsi="宋体" w:eastAsia="黑体"/>
          <w:b/>
          <w:sz w:val="32"/>
          <w:szCs w:val="32"/>
          <w:highlight w:val="none"/>
          <w:lang w:eastAsia="zh-CN"/>
        </w:rPr>
        <w:t>（项目编号：    ）</w:t>
      </w:r>
    </w:p>
    <w:p w14:paraId="229C2D46">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项目名称：</w:t>
      </w:r>
      <w:r>
        <w:rPr>
          <w:rFonts w:hint="eastAsia" w:ascii="宋体" w:hAnsi="宋体" w:cs="宋体"/>
          <w:szCs w:val="21"/>
          <w:highlight w:val="none"/>
          <w:lang w:eastAsia="zh-CN"/>
        </w:rPr>
        <w:t>“中国医药城大健康产业论坛”策划执行服务项目</w:t>
      </w:r>
      <w:r>
        <w:rPr>
          <w:rFonts w:hint="eastAsia" w:ascii="宋体" w:hAnsi="宋体" w:cs="宋体"/>
          <w:szCs w:val="21"/>
          <w:highlight w:val="none"/>
          <w:lang w:val="en-US" w:eastAsia="zh-CN"/>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p>
    <w:p w14:paraId="171540DF">
      <w:pPr>
        <w:pageBreakBefore w:val="0"/>
        <w:kinsoku/>
        <w:topLinePunct w:val="0"/>
        <w:bidi w:val="0"/>
        <w:spacing w:line="360"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项目编号：</w:t>
      </w:r>
      <w:r>
        <w:rPr>
          <w:rFonts w:hint="eastAsia" w:ascii="宋体" w:hAnsi="宋体" w:cs="宋体"/>
          <w:szCs w:val="21"/>
          <w:highlight w:val="none"/>
          <w:lang w:eastAsia="zh-CN"/>
        </w:rPr>
        <w:t>JSZC-321203-HQGC-C2025-0055</w:t>
      </w:r>
    </w:p>
    <w:p w14:paraId="76F8CF4F">
      <w:pPr>
        <w:pageBreakBefore w:val="0"/>
        <w:kinsoku/>
        <w:topLinePunct w:val="0"/>
        <w:bidi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甲方</w:t>
      </w:r>
      <w:r>
        <w:rPr>
          <w:rFonts w:hint="eastAsia" w:ascii="宋体" w:hAnsi="宋体"/>
          <w:b/>
          <w:bCs/>
          <w:color w:val="000000" w:themeColor="text1"/>
          <w:szCs w:val="21"/>
          <w:highlight w:val="none"/>
          <w:lang w:eastAsia="zh-CN"/>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乙方</w:t>
      </w:r>
      <w:r>
        <w:rPr>
          <w:rFonts w:hint="eastAsia" w:ascii="宋体" w:hAnsi="宋体"/>
          <w:b/>
          <w:bCs/>
          <w:color w:val="000000" w:themeColor="text1"/>
          <w:szCs w:val="21"/>
          <w:highlight w:val="none"/>
          <w:lang w:eastAsia="zh-CN"/>
          <w14:textFill>
            <w14:solidFill>
              <w14:schemeClr w14:val="tx1"/>
            </w14:solidFill>
          </w14:textFill>
        </w:rPr>
        <w:t>：</w:t>
      </w:r>
    </w:p>
    <w:p w14:paraId="383E72E1">
      <w:pPr>
        <w:pageBreakBefore w:val="0"/>
        <w:kinsoku/>
        <w:topLinePunct w:val="0"/>
        <w:bidi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地址：                                            地址：</w:t>
      </w:r>
    </w:p>
    <w:p w14:paraId="6BEFD1AC">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项目竞争性磋商采购结果及采购文件的要求</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经协商一致</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达成如下采购服务合同</w:t>
      </w:r>
      <w:r>
        <w:rPr>
          <w:rFonts w:hint="eastAsia" w:ascii="宋体" w:hAnsi="宋体"/>
          <w:color w:val="000000" w:themeColor="text1"/>
          <w:szCs w:val="21"/>
          <w:highlight w:val="none"/>
          <w:lang w:eastAsia="zh-CN"/>
          <w14:textFill>
            <w14:solidFill>
              <w14:schemeClr w14:val="tx1"/>
            </w14:solidFill>
          </w14:textFill>
        </w:rPr>
        <w:t>：</w:t>
      </w:r>
    </w:p>
    <w:p w14:paraId="459E2E03">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一、采购标的</w:t>
      </w:r>
    </w:p>
    <w:p w14:paraId="68303763">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（一）服务名称：</w:t>
      </w:r>
    </w:p>
    <w:p w14:paraId="046DC74F">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p>
    <w:p w14:paraId="0F5CE2DB">
      <w:pPr>
        <w:pageBreakBefore w:val="0"/>
        <w:kinsoku/>
        <w:topLinePunct w:val="0"/>
        <w:bidi w:val="0"/>
        <w:spacing w:line="360" w:lineRule="auto"/>
        <w:ind w:firstLine="420" w:firstLineChars="200"/>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p>
    <w:p w14:paraId="7A633FB3">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4F484728">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二、合同价款</w:t>
      </w:r>
    </w:p>
    <w:p w14:paraId="538500F7">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（一）本合同总价款为人民币（大写）      元整（¥           ）。</w:t>
      </w:r>
    </w:p>
    <w:p w14:paraId="362A21EF">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（二）本合同价款包含所有乙方提供合同约定的服务内容的报酬及乙方提供该项服务所支出的必要费用，甲方在上述合同价款之外不再向乙方支付其他任何费用。</w:t>
      </w:r>
    </w:p>
    <w:p w14:paraId="76DC4E61">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三、合同履行</w:t>
      </w:r>
    </w:p>
    <w:p w14:paraId="02CFA17A">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本合同项下服务的提供参照采购文件的具体要求履行，甲乙双方通过补充条款进行特殊约定的从其约定。</w:t>
      </w:r>
    </w:p>
    <w:p w14:paraId="121098F4">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17B7C64A">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四、验收</w:t>
      </w:r>
    </w:p>
    <w:p w14:paraId="3DA3A70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甲方在合同履行期间，有权依照采购文件相关要求对乙方提供的相关服务或交付的工作成果进行阶段性验收或总体验收。相关验收工作须在甲方工作日时间内进行。</w:t>
      </w:r>
    </w:p>
    <w:p w14:paraId="1B0014DE">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4254722F">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五、合同责任</w:t>
      </w:r>
    </w:p>
    <w:p w14:paraId="27942650">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（一）甲方应当为乙方履行合同提供必要的支持。</w:t>
      </w:r>
    </w:p>
    <w:p w14:paraId="1AD97CEC">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78F67C9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（三）乙方需加强安全操作，如发生安全责任事故，由乙方全权负责。</w:t>
      </w:r>
    </w:p>
    <w:p w14:paraId="136A2D14">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（四）乙方在履行合同中产生的一切非因甲方过错导致的损失，均由乙方自行承担责任。</w:t>
      </w:r>
    </w:p>
    <w:p w14:paraId="5BA0509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（五）甲乙双方均应指定专人作为本合同履行期间双方之间的联络人，所有一方向相对方正式知会事项的通知到达相对方指定联络人即视为到达对方。</w:t>
      </w:r>
    </w:p>
    <w:p w14:paraId="5702E440">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甲方指定联络人：           乙方指定联络人：</w:t>
      </w:r>
    </w:p>
    <w:p w14:paraId="653C17B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p>
    <w:p w14:paraId="7546B899">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                 联系方式：</w:t>
      </w:r>
    </w:p>
    <w:p w14:paraId="280C91E3">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六、履约保证金</w:t>
      </w:r>
    </w:p>
    <w:p w14:paraId="1D164E53">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本项目不收取履约保证金。</w:t>
      </w:r>
    </w:p>
    <w:p w14:paraId="6ADB65E4">
      <w:pPr>
        <w:pageBreakBefore w:val="0"/>
        <w:kinsoku/>
        <w:topLinePunct w:val="0"/>
        <w:bidi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七、</w:t>
      </w:r>
      <w:r>
        <w:rPr>
          <w:rFonts w:hint="eastAsia" w:ascii="宋体" w:hAnsi="宋体"/>
          <w:b/>
          <w:bCs/>
          <w:color w:val="000000" w:themeColor="text1"/>
          <w:szCs w:val="21"/>
          <w:highlight w:val="none"/>
          <w:lang w:val="en-US" w:eastAsia="zh-CN"/>
          <w14:textFill>
            <w14:solidFill>
              <w14:schemeClr w14:val="tx1"/>
            </w14:solidFill>
          </w14:textFill>
        </w:rPr>
        <w:t>合同付款</w:t>
      </w:r>
    </w:p>
    <w:p w14:paraId="58896A45">
      <w:pPr>
        <w:pageBreakBefore w:val="0"/>
        <w:kinsoku/>
        <w:topLinePunct w:val="0"/>
        <w:autoSpaceDE w:val="0"/>
        <w:autoSpaceDN w:val="0"/>
        <w:bidi w:val="0"/>
        <w:adjustRightInd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1.本项目合同履约期间按实际完成任务量及供应商成交的总价格结算。采购人</w:t>
      </w:r>
      <w:r>
        <w:rPr>
          <w:rFonts w:hint="eastAsia" w:ascii="宋体" w:hAnsi="宋体" w:cs="宋体"/>
          <w:color w:val="000000"/>
          <w:szCs w:val="21"/>
          <w:highlight w:val="none"/>
          <w:lang w:val="en-US" w:eastAsia="zh-CN"/>
        </w:rPr>
        <w:t>根据</w:t>
      </w:r>
      <w:r>
        <w:rPr>
          <w:rFonts w:hint="eastAsia" w:ascii="宋体" w:hAnsi="宋体" w:cs="宋体"/>
          <w:color w:val="000000"/>
          <w:szCs w:val="21"/>
          <w:highlight w:val="none"/>
        </w:rPr>
        <w:t>供应商的实际完成</w:t>
      </w:r>
      <w:r>
        <w:rPr>
          <w:rFonts w:hint="eastAsia" w:ascii="宋体" w:hAnsi="宋体" w:cs="宋体"/>
          <w:color w:val="000000"/>
          <w:szCs w:val="21"/>
          <w:highlight w:val="none"/>
          <w:lang w:val="en-US" w:eastAsia="zh-CN"/>
        </w:rPr>
        <w:t>服务内容</w:t>
      </w:r>
      <w:r>
        <w:rPr>
          <w:rFonts w:hint="eastAsia" w:ascii="宋体" w:hAnsi="宋体" w:cs="宋体"/>
          <w:color w:val="000000"/>
          <w:szCs w:val="21"/>
          <w:highlight w:val="none"/>
        </w:rPr>
        <w:t>按阶段支付费用。</w:t>
      </w:r>
    </w:p>
    <w:p w14:paraId="1C18FBD2">
      <w:pPr>
        <w:pStyle w:val="3"/>
        <w:pageBreakBefore w:val="0"/>
        <w:kinsoku/>
        <w:bidi w:val="0"/>
        <w:snapToGrid w:val="0"/>
        <w:spacing w:line="360" w:lineRule="auto"/>
        <w:ind w:left="0" w:leftChars="0" w:firstLine="420" w:firstLineChars="200"/>
        <w:contextualSpacing/>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2.供应商结账时需开具正式发票并附合同复印件；发票上标注的名称、账号、开户行应与收款人一致。</w:t>
      </w:r>
    </w:p>
    <w:p w14:paraId="0F281D26">
      <w:pPr>
        <w:pStyle w:val="3"/>
        <w:pageBreakBefore w:val="0"/>
        <w:kinsoku/>
        <w:bidi w:val="0"/>
        <w:snapToGrid w:val="0"/>
        <w:spacing w:line="360" w:lineRule="auto"/>
        <w:ind w:left="0" w:leftChars="0" w:firstLine="420" w:firstLineChars="200"/>
        <w:contextualSpacing/>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 项目合同签订后，5个工作日内会议主办方向成交单位支付项目合同总金额的30%，即支付     万元；</w:t>
      </w:r>
    </w:p>
    <w:p w14:paraId="04AA0807">
      <w:pPr>
        <w:pStyle w:val="3"/>
        <w:pageBreakBefore w:val="0"/>
        <w:kinsoku/>
        <w:bidi w:val="0"/>
        <w:snapToGrid w:val="0"/>
        <w:spacing w:line="360" w:lineRule="auto"/>
        <w:ind w:left="0" w:leftChars="0" w:firstLine="420" w:firstLineChars="200"/>
        <w:contextualSpacing/>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大会开幕前5个工作日内会议主办方向成交单位支付至项目合同总金额的60%，即再支付     万元；</w:t>
      </w:r>
    </w:p>
    <w:p w14:paraId="636E85EC">
      <w:pPr>
        <w:pStyle w:val="3"/>
        <w:pageBreakBefore w:val="0"/>
        <w:kinsoku/>
        <w:bidi w:val="0"/>
        <w:snapToGrid w:val="0"/>
        <w:spacing w:line="360" w:lineRule="auto"/>
        <w:ind w:left="0" w:leftChars="0" w:firstLine="420" w:firstLineChars="200"/>
        <w:contextualSpacing/>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大会结束后，依据会议总结报告、到会嘉宾和参会人员的考核情况以及合同协议服务费用最终结算申请等财务单据，在会议相关审计完成后10个工作日内，会议主办方向成交单位支付至项目合同总金额的90%，即再支付</w:t>
      </w:r>
      <w:r>
        <w:rPr>
          <w:rFonts w:hint="eastAsia" w:ascii="宋体" w:hAnsi="宋体" w:eastAsia="宋体" w:cs="宋体"/>
          <w:color w:val="000000"/>
          <w:kern w:val="2"/>
          <w:sz w:val="21"/>
          <w:szCs w:val="21"/>
          <w:highlight w:val="none"/>
          <w:u w:val="single"/>
          <w:lang w:val="en-US" w:eastAsia="zh-CN" w:bidi="ar-SA"/>
        </w:rPr>
        <w:t xml:space="preserve">     </w:t>
      </w:r>
      <w:r>
        <w:rPr>
          <w:rFonts w:hint="eastAsia" w:ascii="宋体" w:hAnsi="宋体" w:eastAsia="宋体" w:cs="宋体"/>
          <w:color w:val="000000"/>
          <w:kern w:val="2"/>
          <w:sz w:val="21"/>
          <w:szCs w:val="21"/>
          <w:highlight w:val="none"/>
          <w:lang w:val="en-US" w:eastAsia="zh-CN" w:bidi="ar-SA"/>
        </w:rPr>
        <w:t>万元；</w:t>
      </w:r>
    </w:p>
    <w:p w14:paraId="096C14B7">
      <w:pPr>
        <w:pageBreakBefore w:val="0"/>
        <w:kinsoku/>
        <w:topLinePunct w:val="0"/>
        <w:autoSpaceDE w:val="0"/>
        <w:autoSpaceDN w:val="0"/>
        <w:bidi w:val="0"/>
        <w:adjustRightInd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kern w:val="2"/>
          <w:sz w:val="21"/>
          <w:szCs w:val="21"/>
          <w:highlight w:val="none"/>
          <w:lang w:val="en-US" w:eastAsia="zh-CN" w:bidi="ar-SA"/>
        </w:rPr>
        <w:t>剩余项目合同总金额的10%作为</w:t>
      </w:r>
      <w:r>
        <w:rPr>
          <w:rFonts w:hint="eastAsia" w:ascii="宋体" w:hAnsi="宋体" w:eastAsia="宋体" w:cs="宋体"/>
          <w:color w:val="000000"/>
          <w:szCs w:val="21"/>
          <w:highlight w:val="none"/>
        </w:rPr>
        <w:t>尾款，即</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万元，在会议主办方对本次会议进行绩效评价后，按照绩效评价情况进行支付。</w:t>
      </w:r>
    </w:p>
    <w:p w14:paraId="2DEF5813">
      <w:pPr>
        <w:pageBreakBefore w:val="0"/>
        <w:kinsoku/>
        <w:topLinePunct w:val="0"/>
        <w:autoSpaceDE w:val="0"/>
        <w:autoSpaceDN w:val="0"/>
        <w:bidi w:val="0"/>
        <w:adjustRightInd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每次付款前，</w:t>
      </w:r>
      <w:r>
        <w:rPr>
          <w:rFonts w:hint="eastAsia" w:ascii="宋体" w:hAnsi="宋体" w:eastAsia="宋体" w:cs="宋体"/>
          <w:color w:val="000000"/>
          <w:szCs w:val="21"/>
          <w:highlight w:val="none"/>
          <w:lang w:eastAsia="zh-CN"/>
        </w:rPr>
        <w:t>成交单位</w:t>
      </w:r>
      <w:r>
        <w:rPr>
          <w:rFonts w:hint="eastAsia" w:ascii="宋体" w:hAnsi="宋体" w:eastAsia="宋体" w:cs="宋体"/>
          <w:color w:val="000000"/>
          <w:szCs w:val="21"/>
          <w:highlight w:val="none"/>
        </w:rPr>
        <w:t>应向会议主办方提供合法有效的发票，否则会议主办方有权拒绝付款且不承担任何责任。</w:t>
      </w:r>
    </w:p>
    <w:p w14:paraId="634836A9">
      <w:pPr>
        <w:pageBreakBefore w:val="0"/>
        <w:kinsoku/>
        <w:topLinePunct w:val="0"/>
        <w:autoSpaceDE w:val="0"/>
        <w:autoSpaceDN w:val="0"/>
        <w:bidi w:val="0"/>
        <w:adjustRightInd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付款方式为：银行划拨支付。</w:t>
      </w:r>
    </w:p>
    <w:p w14:paraId="573EE227">
      <w:pPr>
        <w:pageBreakBefore w:val="0"/>
        <w:kinsoku/>
        <w:topLinePunct w:val="0"/>
        <w:autoSpaceDE w:val="0"/>
        <w:autoSpaceDN w:val="0"/>
        <w:bidi w:val="0"/>
        <w:adjustRightInd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八、保密条款</w:t>
      </w:r>
    </w:p>
    <w:p w14:paraId="35D473FB">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乙方不得将在履行本合同中知悉的甲方任何信息随意泄露、擅自使用。</w:t>
      </w:r>
    </w:p>
    <w:p w14:paraId="0E183C96">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九、争议的解决</w:t>
      </w:r>
    </w:p>
    <w:p w14:paraId="28082978">
      <w:pPr>
        <w:pageBreakBefore w:val="0"/>
        <w:kinsoku/>
        <w:topLinePunct w:val="0"/>
        <w:bidi w:val="0"/>
        <w:spacing w:line="360" w:lineRule="auto"/>
        <w:ind w:firstLine="420" w:firstLineChars="200"/>
        <w:contextualSpacing/>
        <w:rPr>
          <w:rFonts w:ascii="宋体" w:hAnsi="宋体"/>
          <w:highlight w:val="none"/>
        </w:rPr>
      </w:pPr>
      <w:r>
        <w:rPr>
          <w:rFonts w:ascii="宋体" w:hAnsi="宋体"/>
          <w:highlight w:val="none"/>
        </w:rPr>
        <w:t>1.</w:t>
      </w:r>
      <w:r>
        <w:rPr>
          <w:rFonts w:hint="eastAsia" w:ascii="宋体" w:hAnsi="宋体"/>
          <w:highlight w:val="none"/>
        </w:rPr>
        <w:t>因履行本合同引起的或与本合同有关的争议，甲、乙双方应首先通过友好协商解决，如果协商不能解决争议，则采取以下第</w:t>
      </w:r>
      <w:r>
        <w:rPr>
          <w:rFonts w:hint="eastAsia" w:ascii="宋体" w:hAnsi="宋体"/>
          <w:b/>
          <w:highlight w:val="none"/>
        </w:rPr>
        <w:t>（</w:t>
      </w:r>
      <w:r>
        <w:rPr>
          <w:rFonts w:hint="eastAsia" w:ascii="宋体" w:hAnsi="宋体"/>
          <w:b/>
          <w:highlight w:val="none"/>
          <w:lang w:val="en-US" w:eastAsia="zh-CN"/>
        </w:rPr>
        <w:t xml:space="preserve">   </w:t>
      </w:r>
      <w:r>
        <w:rPr>
          <w:rFonts w:hint="eastAsia" w:ascii="宋体" w:hAnsi="宋体"/>
          <w:b/>
          <w:highlight w:val="none"/>
        </w:rPr>
        <w:t>）</w:t>
      </w:r>
      <w:r>
        <w:rPr>
          <w:rFonts w:hint="eastAsia" w:ascii="宋体" w:hAnsi="宋体"/>
          <w:highlight w:val="none"/>
        </w:rPr>
        <w:t>种方式解决争议：</w:t>
      </w:r>
    </w:p>
    <w:p w14:paraId="5828395E">
      <w:pPr>
        <w:pageBreakBefore w:val="0"/>
        <w:kinsoku/>
        <w:topLinePunct w:val="0"/>
        <w:bidi w:val="0"/>
        <w:spacing w:line="360" w:lineRule="auto"/>
        <w:ind w:firstLine="420" w:firstLineChars="200"/>
        <w:contextualSpacing/>
        <w:rPr>
          <w:rFonts w:ascii="宋体" w:hAnsi="宋体"/>
          <w:highlight w:val="none"/>
        </w:rPr>
      </w:pPr>
      <w:r>
        <w:rPr>
          <w:rFonts w:hint="eastAsia" w:ascii="宋体" w:hAnsi="宋体"/>
          <w:highlight w:val="none"/>
        </w:rPr>
        <w:t>（</w:t>
      </w:r>
      <w:r>
        <w:rPr>
          <w:rFonts w:ascii="宋体" w:hAnsi="宋体"/>
          <w:highlight w:val="none"/>
        </w:rPr>
        <w:t>1</w:t>
      </w:r>
      <w:r>
        <w:rPr>
          <w:rFonts w:hint="eastAsia" w:ascii="宋体" w:hAnsi="宋体"/>
          <w:highlight w:val="none"/>
        </w:rPr>
        <w:t>）向甲方所在地有管辖权的人民法院提起诉讼；</w:t>
      </w:r>
    </w:p>
    <w:p w14:paraId="38C52C92">
      <w:pPr>
        <w:pageBreakBefore w:val="0"/>
        <w:kinsoku/>
        <w:topLinePunct w:val="0"/>
        <w:bidi w:val="0"/>
        <w:spacing w:line="360" w:lineRule="auto"/>
        <w:ind w:firstLine="420" w:firstLineChars="200"/>
        <w:contextualSpacing/>
        <w:rPr>
          <w:rFonts w:ascii="宋体" w:hAnsi="宋体"/>
          <w:highlight w:val="none"/>
        </w:rPr>
      </w:pPr>
      <w:r>
        <w:rPr>
          <w:rFonts w:hint="eastAsia" w:ascii="宋体" w:hAnsi="宋体"/>
          <w:highlight w:val="none"/>
        </w:rPr>
        <w:t>（</w:t>
      </w:r>
      <w:r>
        <w:rPr>
          <w:rFonts w:ascii="宋体" w:hAnsi="宋体"/>
          <w:highlight w:val="none"/>
        </w:rPr>
        <w:t>2</w:t>
      </w:r>
      <w:r>
        <w:rPr>
          <w:rFonts w:hint="eastAsia" w:ascii="宋体" w:hAnsi="宋体"/>
          <w:highlight w:val="none"/>
        </w:rPr>
        <w:t>）向泰州仲裁委员会按其仲裁规则申请仲裁。</w:t>
      </w:r>
    </w:p>
    <w:p w14:paraId="7059DD71">
      <w:pPr>
        <w:pageBreakBefore w:val="0"/>
        <w:kinsoku/>
        <w:topLinePunct w:val="0"/>
        <w:bidi w:val="0"/>
        <w:spacing w:line="360" w:lineRule="auto"/>
        <w:ind w:firstLine="420" w:firstLineChars="200"/>
        <w:contextualSpacing/>
        <w:rPr>
          <w:rFonts w:ascii="宋体" w:hAnsi="宋体"/>
          <w:highlight w:val="none"/>
        </w:rPr>
      </w:pPr>
      <w:r>
        <w:rPr>
          <w:rFonts w:hint="eastAsia" w:ascii="宋体" w:hAnsi="宋体"/>
          <w:highlight w:val="none"/>
        </w:rPr>
        <w:t>如没有约定，默认采取第</w:t>
      </w:r>
      <w:r>
        <w:rPr>
          <w:rFonts w:ascii="宋体" w:hAnsi="宋体"/>
          <w:highlight w:val="none"/>
        </w:rPr>
        <w:t>2</w:t>
      </w:r>
      <w:r>
        <w:rPr>
          <w:rFonts w:hint="eastAsia" w:ascii="宋体" w:hAnsi="宋体"/>
          <w:highlight w:val="none"/>
        </w:rPr>
        <w:t>种方式解决争议。</w:t>
      </w:r>
    </w:p>
    <w:p w14:paraId="762E1FA5">
      <w:pPr>
        <w:pageBreakBefore w:val="0"/>
        <w:kinsoku/>
        <w:topLinePunct w:val="0"/>
        <w:bidi w:val="0"/>
        <w:spacing w:line="360" w:lineRule="auto"/>
        <w:ind w:firstLine="420" w:firstLineChars="200"/>
        <w:contextualSpacing/>
        <w:rPr>
          <w:rFonts w:ascii="宋体" w:hAnsi="宋体"/>
          <w:highlight w:val="none"/>
        </w:rPr>
      </w:pPr>
      <w:r>
        <w:rPr>
          <w:rFonts w:ascii="宋体" w:hAnsi="宋体"/>
          <w:highlight w:val="none"/>
        </w:rPr>
        <w:t>2.</w:t>
      </w:r>
      <w:r>
        <w:rPr>
          <w:rFonts w:hint="eastAsia" w:ascii="宋体" w:hAnsi="宋体"/>
          <w:highlight w:val="none"/>
        </w:rPr>
        <w:t>在仲裁期间，本合同应继续履行。</w:t>
      </w:r>
    </w:p>
    <w:p w14:paraId="297D497C">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十、合同生效</w:t>
      </w:r>
    </w:p>
    <w:p w14:paraId="118286B1">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本合同由甲乙双方签字盖章后生效。</w:t>
      </w:r>
    </w:p>
    <w:p w14:paraId="5116712B">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十一、组成本合同的文件包括：</w:t>
      </w:r>
    </w:p>
    <w:p w14:paraId="2A605458">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1.合同通用条款和专用条款；</w:t>
      </w:r>
    </w:p>
    <w:p w14:paraId="5A215AA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2.采购文件和乙方的响应文件；</w:t>
      </w:r>
    </w:p>
    <w:p w14:paraId="0F9B2592">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3.成交通知书；</w:t>
      </w:r>
    </w:p>
    <w:p w14:paraId="1FB54A7A">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4.甲乙双方商定的其他必要文件。</w:t>
      </w:r>
    </w:p>
    <w:p w14:paraId="08812BEA">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上述合同文件内容互为补充，如有不明确，由甲方负责解释。</w:t>
      </w:r>
    </w:p>
    <w:p w14:paraId="11B903A6">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十二、合同备案</w:t>
      </w:r>
    </w:p>
    <w:p w14:paraId="015AE041">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本合同一式</w:t>
      </w:r>
      <w:r>
        <w:rPr>
          <w:rFonts w:hint="eastAsia" w:ascii="宋体" w:hAnsi="宋体"/>
          <w:color w:val="000000" w:themeColor="text1"/>
          <w:szCs w:val="21"/>
          <w:highlight w:val="none"/>
          <w:lang w:val="en-US" w:eastAsia="zh-CN"/>
          <w14:textFill>
            <w14:solidFill>
              <w14:schemeClr w14:val="tx1"/>
            </w14:solidFill>
          </w14:textFill>
        </w:rPr>
        <w:t>陆</w:t>
      </w:r>
      <w:r>
        <w:rPr>
          <w:rFonts w:hint="eastAsia" w:ascii="宋体" w:hAnsi="宋体"/>
          <w:color w:val="000000" w:themeColor="text1"/>
          <w:szCs w:val="21"/>
          <w:highlight w:val="none"/>
          <w14:textFill>
            <w14:solidFill>
              <w14:schemeClr w14:val="tx1"/>
            </w14:solidFill>
          </w14:textFill>
        </w:rPr>
        <w:t>份，中文书写</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lang w:val="en-US" w:eastAsia="zh-CN"/>
          <w14:textFill>
            <w14:solidFill>
              <w14:schemeClr w14:val="tx1"/>
            </w14:solidFill>
          </w14:textFill>
        </w:rPr>
        <w:t>四份</w:t>
      </w:r>
      <w:r>
        <w:rPr>
          <w:rFonts w:hint="eastAsia" w:ascii="宋体" w:hAnsi="宋体"/>
          <w:color w:val="000000" w:themeColor="text1"/>
          <w:szCs w:val="21"/>
          <w:highlight w:val="none"/>
          <w14:textFill>
            <w14:solidFill>
              <w14:schemeClr w14:val="tx1"/>
            </w14:solidFill>
          </w14:textFill>
        </w:rPr>
        <w:t>、乙方</w:t>
      </w:r>
      <w:r>
        <w:rPr>
          <w:rFonts w:hint="eastAsia" w:ascii="宋体" w:hAnsi="宋体"/>
          <w:color w:val="000000" w:themeColor="text1"/>
          <w:szCs w:val="21"/>
          <w:highlight w:val="none"/>
          <w:lang w:val="en-US" w:eastAsia="zh-CN"/>
          <w14:textFill>
            <w14:solidFill>
              <w14:schemeClr w14:val="tx1"/>
            </w14:solidFill>
          </w14:textFill>
        </w:rPr>
        <w:t>两份</w:t>
      </w:r>
      <w:r>
        <w:rPr>
          <w:rFonts w:hint="eastAsia" w:ascii="宋体" w:hAnsi="宋体"/>
          <w:color w:val="000000" w:themeColor="text1"/>
          <w:szCs w:val="21"/>
          <w:highlight w:val="none"/>
          <w14:textFill>
            <w14:solidFill>
              <w14:schemeClr w14:val="tx1"/>
            </w14:solidFill>
          </w14:textFill>
        </w:rPr>
        <w:t>。</w:t>
      </w:r>
    </w:p>
    <w:p w14:paraId="292306B9">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p>
    <w:p w14:paraId="0BC1306E">
      <w:pPr>
        <w:pStyle w:val="2"/>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p>
    <w:p w14:paraId="58C7063E">
      <w:pPr>
        <w:pStyle w:val="2"/>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p>
    <w:p w14:paraId="18DAB49F">
      <w:pPr>
        <w:pStyle w:val="2"/>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p>
    <w:p w14:paraId="4418B492">
      <w:pPr>
        <w:pageBreakBefore w:val="0"/>
        <w:kinsoku/>
        <w:topLinePunct w:val="0"/>
        <w:bidi w:val="0"/>
        <w:spacing w:line="360" w:lineRule="auto"/>
        <w:ind w:firstLine="422" w:firstLineChars="200"/>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以下无正文内容。</w:t>
      </w:r>
    </w:p>
    <w:p w14:paraId="5917B232">
      <w:pPr>
        <w:pStyle w:val="2"/>
        <w:pageBreakBefore w:val="0"/>
        <w:kinsoku/>
        <w:topLinePunct w:val="0"/>
        <w:bidi w:val="0"/>
        <w:spacing w:line="360" w:lineRule="auto"/>
        <w:rPr>
          <w:rFonts w:hint="eastAsia" w:ascii="宋体" w:hAnsi="宋体"/>
          <w:color w:val="000000" w:themeColor="text1"/>
          <w:szCs w:val="21"/>
          <w:highlight w:val="none"/>
          <w:lang w:val="en-US" w:eastAsia="zh-CN"/>
          <w14:textFill>
            <w14:solidFill>
              <w14:schemeClr w14:val="tx1"/>
            </w14:solidFill>
          </w14:textFill>
        </w:rPr>
      </w:pPr>
    </w:p>
    <w:p w14:paraId="5B8EE064">
      <w:pPr>
        <w:pStyle w:val="2"/>
        <w:pageBreakBefore w:val="0"/>
        <w:kinsoku/>
        <w:topLinePunct w:val="0"/>
        <w:bidi w:val="0"/>
        <w:spacing w:line="360" w:lineRule="auto"/>
        <w:rPr>
          <w:rFonts w:hint="default" w:ascii="宋体" w:hAnsi="宋体"/>
          <w:color w:val="000000" w:themeColor="text1"/>
          <w:szCs w:val="21"/>
          <w:highlight w:val="none"/>
          <w:lang w:val="en-US" w:eastAsia="zh-CN"/>
          <w14:textFill>
            <w14:solidFill>
              <w14:schemeClr w14:val="tx1"/>
            </w14:solidFill>
          </w14:textFill>
        </w:rPr>
      </w:pPr>
    </w:p>
    <w:p w14:paraId="7AE52458">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        （盖章）                                 乙方：      （盖章）</w:t>
      </w:r>
    </w:p>
    <w:p w14:paraId="474B829D">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p>
    <w:p w14:paraId="2E236458">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法定（授权）代表人：                                   法定（授权）代表人：</w:t>
      </w:r>
    </w:p>
    <w:p w14:paraId="6D1678B4">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p>
    <w:p w14:paraId="14BCF83A">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二〇二五年</w:t>
      </w:r>
      <w:r>
        <w:rPr>
          <w:rFonts w:hint="eastAsia" w:ascii="宋体" w:hAnsi="宋体"/>
          <w:color w:val="000000" w:themeColor="text1"/>
          <w:szCs w:val="21"/>
          <w:highlight w:val="none"/>
          <w14:textFill>
            <w14:solidFill>
              <w14:schemeClr w14:val="tx1"/>
            </w14:solidFill>
          </w14:textFill>
        </w:rPr>
        <w:t xml:space="preserve">     月    日</w:t>
      </w:r>
    </w:p>
    <w:p w14:paraId="19CC4AA2">
      <w:pPr>
        <w:pageBreakBefore w:val="0"/>
        <w:widowControl/>
        <w:kinsoku/>
        <w:topLinePunct w:val="0"/>
        <w:bidi w:val="0"/>
        <w:spacing w:line="360" w:lineRule="auto"/>
        <w:ind w:right="210" w:rightChars="100" w:firstLine="630" w:firstLineChars="300"/>
        <w:rPr>
          <w:rFonts w:hint="eastAsia" w:ascii="宋体" w:hAnsi="宋体" w:cs="宋体"/>
          <w:color w:val="000000" w:themeColor="text1"/>
          <w:kern w:val="0"/>
          <w:szCs w:val="21"/>
          <w:highlight w:val="none"/>
          <w14:textFill>
            <w14:solidFill>
              <w14:schemeClr w14:val="tx1"/>
            </w14:solidFill>
          </w14:textFill>
        </w:rPr>
        <w:sectPr>
          <w:footerReference r:id="rId8" w:type="default"/>
          <w:pgSz w:w="11907" w:h="16840"/>
          <w:pgMar w:top="1247" w:right="1080" w:bottom="1247" w:left="1080" w:header="851" w:footer="851" w:gutter="0"/>
          <w:pgNumType w:fmt="decimal"/>
          <w:cols w:space="720" w:num="1"/>
          <w:docGrid w:linePitch="312" w:charSpace="0"/>
        </w:sectPr>
      </w:pPr>
    </w:p>
    <w:p w14:paraId="397F4713">
      <w:pPr>
        <w:pStyle w:val="5"/>
        <w:numPr>
          <w:ilvl w:val="0"/>
          <w:numId w:val="2"/>
        </w:numPr>
        <w:spacing w:line="360" w:lineRule="auto"/>
        <w:ind w:firstLine="422" w:firstLineChars="200"/>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 项目需求</w:t>
      </w:r>
      <w:bookmarkEnd w:id="94"/>
    </w:p>
    <w:p w14:paraId="4C57C829">
      <w:pPr>
        <w:pageBreakBefore w:val="0"/>
        <w:spacing w:line="360" w:lineRule="auto"/>
        <w:ind w:firstLine="422"/>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一、项目简介</w:t>
      </w:r>
    </w:p>
    <w:p w14:paraId="14095510">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项目名称：</w:t>
      </w:r>
      <w:r>
        <w:rPr>
          <w:rFonts w:hint="eastAsia" w:ascii="宋体" w:hAnsi="宋体" w:cs="宋体"/>
          <w:szCs w:val="21"/>
          <w:highlight w:val="none"/>
          <w:lang w:eastAsia="zh-CN"/>
        </w:rPr>
        <w:t>“中国医药城大健康产业论坛”策划执行服务</w:t>
      </w:r>
    </w:p>
    <w:p w14:paraId="37C84B2B">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地点：中国医药城会展交易中心</w:t>
      </w:r>
    </w:p>
    <w:p w14:paraId="37D72ED2">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时间：202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eastAsia="zh-CN"/>
        </w:rPr>
        <w:t>年11月</w:t>
      </w:r>
      <w:r>
        <w:rPr>
          <w:rFonts w:hint="eastAsia" w:ascii="宋体" w:hAnsi="宋体" w:eastAsia="宋体" w:cs="宋体"/>
          <w:sz w:val="21"/>
          <w:szCs w:val="21"/>
          <w:highlight w:val="none"/>
          <w:lang w:val="en-US" w:eastAsia="zh-CN"/>
        </w:rPr>
        <w:t>28</w:t>
      </w:r>
      <w:r>
        <w:rPr>
          <w:rFonts w:hint="eastAsia" w:ascii="宋体" w:hAnsi="宋体" w:eastAsia="宋体" w:cs="宋体"/>
          <w:sz w:val="21"/>
          <w:szCs w:val="21"/>
          <w:highlight w:val="none"/>
          <w:lang w:eastAsia="zh-CN"/>
        </w:rPr>
        <w:t>日—</w:t>
      </w:r>
      <w:r>
        <w:rPr>
          <w:rFonts w:hint="eastAsia" w:ascii="宋体" w:hAnsi="宋体" w:eastAsia="宋体" w:cs="宋体"/>
          <w:sz w:val="21"/>
          <w:szCs w:val="21"/>
          <w:highlight w:val="none"/>
          <w:lang w:val="en-US" w:eastAsia="zh-CN"/>
        </w:rPr>
        <w:t>30日</w:t>
      </w:r>
      <w:r>
        <w:rPr>
          <w:rFonts w:hint="eastAsia" w:ascii="宋体" w:hAnsi="宋体" w:eastAsia="宋体" w:cs="宋体"/>
          <w:sz w:val="21"/>
          <w:szCs w:val="21"/>
          <w:highlight w:val="none"/>
          <w:lang w:eastAsia="zh-CN"/>
        </w:rPr>
        <w:t>。</w:t>
      </w:r>
    </w:p>
    <w:p w14:paraId="66BF223C">
      <w:pPr>
        <w:pageBreakBefore w:val="0"/>
        <w:spacing w:line="360" w:lineRule="auto"/>
        <w:ind w:firstLine="420"/>
        <w:rPr>
          <w:rFonts w:hint="eastAsia" w:ascii="宋体" w:hAnsi="宋体" w:cs="宋体"/>
          <w:szCs w:val="21"/>
          <w:highlight w:val="none"/>
          <w:lang w:val="en-US" w:eastAsia="zh-CN"/>
        </w:rPr>
      </w:pPr>
      <w:r>
        <w:rPr>
          <w:rFonts w:hint="eastAsia" w:ascii="宋体" w:hAnsi="宋体" w:eastAsia="宋体" w:cs="宋体"/>
          <w:sz w:val="21"/>
          <w:szCs w:val="21"/>
          <w:highlight w:val="none"/>
          <w:lang w:eastAsia="zh-CN"/>
        </w:rPr>
        <w:t>4.项目概况：</w:t>
      </w:r>
      <w:r>
        <w:rPr>
          <w:rFonts w:hint="eastAsia" w:ascii="宋体" w:hAnsi="宋体" w:cs="宋体"/>
          <w:szCs w:val="21"/>
          <w:highlight w:val="none"/>
          <w:lang w:val="en-US" w:eastAsia="zh-CN"/>
        </w:rPr>
        <w:t>准确把握新时代医药行业发展新趋势，紧紧围绕泰州大健康产业特色优势，聚焦医药健康创新成果产业化，拟联合国内外知名行业协会、领军企业、权威机构及专家学者等按照市场化、专业化、国际化、规范化目标，全面深入探讨医药健康产业的政策导向、前沿趋势、技术突破、成果转化与市场机遇等热点议题，推动政、产、学、研、金、服、用等多方力量协同联动，共谋医药健康产业创新与可持续发展路径，构建“政产学研金服用”高效对接平台，拓展合作渠道，促进战略合作，加速科技成果转化与产业升级，持续提升品牌影响力，吸引更多国内外高端医药创新资源向中国医药城集聚将其打造成为具有显著行业影响力和引领性的医药健康产业盛会。</w:t>
      </w:r>
    </w:p>
    <w:p w14:paraId="3DD010E3">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由泰州市人民政府主办的中国医药城大健康产业发展论坛，将邀请学术界和产业界领军人物深度研讨产业发展政策导向、市场动向、创新方向。期间，将举行</w:t>
      </w:r>
      <w:r>
        <w:rPr>
          <w:rFonts w:hint="eastAsia" w:ascii="宋体" w:hAnsi="宋体" w:cs="宋体"/>
          <w:sz w:val="21"/>
          <w:szCs w:val="21"/>
          <w:highlight w:val="none"/>
          <w:lang w:val="en-US" w:eastAsia="zh-CN"/>
        </w:rPr>
        <w:t>1场</w:t>
      </w:r>
      <w:r>
        <w:rPr>
          <w:rFonts w:hint="eastAsia" w:ascii="宋体" w:hAnsi="宋体" w:eastAsia="宋体" w:cs="宋体"/>
          <w:sz w:val="21"/>
          <w:szCs w:val="21"/>
          <w:highlight w:val="none"/>
          <w:lang w:eastAsia="zh-CN"/>
        </w:rPr>
        <w:t>核心主旨报告（医药健康创新成果转化与新质生产力培育）、创新生态活动矩阵（活动版块1</w:t>
      </w: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t>生物科技成果转化与金融赋能、活动版块2</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生物医药未来发展与创新应用、活动版块3</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合成生物学技术与绿色生物制造、活动版块4</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医药出海与跨境合作、活动版块5</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医药产业创新与人才发展、活动版块6</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大健康产业新图景与新趋势）、</w:t>
      </w:r>
      <w:r>
        <w:rPr>
          <w:rFonts w:hint="eastAsia" w:ascii="宋体" w:hAnsi="宋体" w:cs="宋体"/>
          <w:sz w:val="21"/>
          <w:szCs w:val="21"/>
          <w:highlight w:val="none"/>
          <w:lang w:val="en-US" w:eastAsia="zh-CN"/>
        </w:rPr>
        <w:t>2场</w:t>
      </w:r>
      <w:r>
        <w:rPr>
          <w:rFonts w:hint="eastAsia" w:ascii="宋体" w:hAnsi="宋体" w:eastAsia="宋体" w:cs="宋体"/>
          <w:sz w:val="21"/>
          <w:szCs w:val="21"/>
          <w:highlight w:val="none"/>
          <w:lang w:eastAsia="zh-CN"/>
        </w:rPr>
        <w:t>常态化活动（中国医药城政策发布暨项目签约仪式、省部共同推进泰州医药高新区建设联席会议第十四次会议）。</w:t>
      </w:r>
    </w:p>
    <w:p w14:paraId="5EB6691F">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cs="宋体"/>
          <w:szCs w:val="21"/>
          <w:highlight w:val="none"/>
          <w:lang w:val="en-US" w:eastAsia="zh-CN"/>
        </w:rPr>
        <w:t>根据会议主办方要求，供应商须做好大会全程各项活动的具体策划与执行工作，具体内容包括但不限于：包括活动策划、活动推广、会务组织、会务执行、嘉宾邀请和接待保障、会场搭建和服务、宣传报道、物料保障，以及礼仪、速记等相关会议协调保障工作。</w:t>
      </w:r>
    </w:p>
    <w:p w14:paraId="6B828E6D">
      <w:pPr>
        <w:pageBreakBefore w:val="0"/>
        <w:spacing w:line="360" w:lineRule="auto"/>
        <w:ind w:firstLine="422"/>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二、服务内容</w:t>
      </w:r>
    </w:p>
    <w:p w14:paraId="20B584AD">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1.活动时间</w:t>
      </w:r>
      <w:r>
        <w:rPr>
          <w:rFonts w:hint="eastAsia" w:ascii="宋体" w:hAnsi="宋体" w:eastAsia="宋体" w:cs="宋体"/>
          <w:sz w:val="21"/>
          <w:szCs w:val="21"/>
          <w:highlight w:val="none"/>
          <w:lang w:eastAsia="zh-CN"/>
        </w:rPr>
        <w:t>：202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eastAsia="zh-CN"/>
        </w:rPr>
        <w:t>年</w:t>
      </w:r>
      <w:r>
        <w:rPr>
          <w:rFonts w:hint="eastAsia" w:ascii="宋体" w:hAnsi="宋体" w:cs="宋体"/>
          <w:sz w:val="21"/>
          <w:szCs w:val="21"/>
          <w:highlight w:val="none"/>
          <w:lang w:eastAsia="zh-CN"/>
        </w:rPr>
        <w:t>11月</w:t>
      </w:r>
      <w:r>
        <w:rPr>
          <w:rFonts w:hint="eastAsia" w:ascii="宋体" w:hAnsi="宋体" w:cs="宋体"/>
          <w:sz w:val="21"/>
          <w:szCs w:val="21"/>
          <w:highlight w:val="none"/>
          <w:lang w:val="en-US" w:eastAsia="zh-CN"/>
        </w:rPr>
        <w:t>28</w:t>
      </w:r>
      <w:r>
        <w:rPr>
          <w:rFonts w:hint="eastAsia" w:ascii="宋体" w:hAnsi="宋体" w:cs="宋体"/>
          <w:sz w:val="21"/>
          <w:szCs w:val="21"/>
          <w:highlight w:val="none"/>
          <w:lang w:eastAsia="zh-CN"/>
        </w:rPr>
        <w:t>日—</w:t>
      </w:r>
      <w:r>
        <w:rPr>
          <w:rFonts w:hint="eastAsia" w:ascii="宋体" w:hAnsi="宋体" w:eastAsia="宋体" w:cs="宋体"/>
          <w:sz w:val="21"/>
          <w:szCs w:val="21"/>
          <w:highlight w:val="none"/>
          <w:lang w:val="en-US" w:eastAsia="zh-CN"/>
        </w:rPr>
        <w:t>3</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lang w:val="en-US" w:eastAsia="zh-CN"/>
        </w:rPr>
        <w:t>日</w:t>
      </w:r>
      <w:r>
        <w:rPr>
          <w:rFonts w:hint="eastAsia" w:ascii="宋体" w:hAnsi="宋体" w:eastAsia="宋体" w:cs="宋体"/>
          <w:sz w:val="21"/>
          <w:szCs w:val="21"/>
          <w:highlight w:val="none"/>
          <w:lang w:eastAsia="zh-CN"/>
        </w:rPr>
        <w:t>。</w:t>
      </w:r>
    </w:p>
    <w:p w14:paraId="6B65011B">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活动地点：中国医药城会展交易中心</w:t>
      </w:r>
    </w:p>
    <w:p w14:paraId="2DE4BA5D">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3.活动构成</w:t>
      </w:r>
      <w:r>
        <w:rPr>
          <w:rFonts w:hint="eastAsia" w:ascii="宋体" w:hAnsi="宋体" w:eastAsia="宋体" w:cs="宋体"/>
          <w:sz w:val="21"/>
          <w:szCs w:val="21"/>
          <w:highlight w:val="none"/>
          <w:lang w:eastAsia="zh-CN"/>
        </w:rPr>
        <w:t>：</w:t>
      </w:r>
    </w:p>
    <w:p w14:paraId="674534C7">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cyan"/>
          <w:lang w:eastAsia="zh-CN"/>
        </w:rPr>
        <w:t>第一天：上午主旨报告会（医药健康创新成果转化与新质生产力培育）</w:t>
      </w:r>
      <w:r>
        <w:rPr>
          <w:rFonts w:hint="eastAsia" w:ascii="宋体" w:hAnsi="宋体" w:cs="宋体"/>
          <w:sz w:val="21"/>
          <w:szCs w:val="21"/>
          <w:highlight w:val="cyan"/>
          <w:lang w:eastAsia="zh-CN"/>
        </w:rPr>
        <w:t>；</w:t>
      </w:r>
      <w:r>
        <w:rPr>
          <w:rFonts w:hint="eastAsia" w:ascii="宋体" w:hAnsi="宋体" w:cs="宋体"/>
          <w:sz w:val="21"/>
          <w:szCs w:val="21"/>
          <w:highlight w:val="cyan"/>
          <w:lang w:val="en-US" w:eastAsia="zh-CN"/>
        </w:rPr>
        <w:t>1</w:t>
      </w:r>
      <w:r>
        <w:rPr>
          <w:rFonts w:hint="eastAsia" w:ascii="宋体" w:hAnsi="宋体" w:eastAsia="宋体" w:cs="宋体"/>
          <w:sz w:val="21"/>
          <w:szCs w:val="21"/>
          <w:highlight w:val="cyan"/>
          <w:lang w:eastAsia="zh-CN"/>
        </w:rPr>
        <w:t>场常态化活动（省部共同推进泰州医药高新区建设联席会议第十四次会议）</w:t>
      </w:r>
      <w:r>
        <w:rPr>
          <w:rFonts w:hint="eastAsia" w:ascii="宋体" w:hAnsi="宋体" w:cs="宋体"/>
          <w:sz w:val="21"/>
          <w:szCs w:val="21"/>
          <w:highlight w:val="cyan"/>
          <w:lang w:eastAsia="zh-CN"/>
        </w:rPr>
        <w:t>；</w:t>
      </w:r>
      <w:r>
        <w:rPr>
          <w:rFonts w:hint="eastAsia" w:ascii="宋体" w:hAnsi="宋体" w:cs="宋体"/>
          <w:sz w:val="21"/>
          <w:szCs w:val="21"/>
          <w:highlight w:val="cyan"/>
          <w:lang w:val="en-US" w:eastAsia="zh-CN"/>
        </w:rPr>
        <w:t>下午1场</w:t>
      </w:r>
      <w:r>
        <w:rPr>
          <w:rFonts w:hint="eastAsia" w:ascii="宋体" w:hAnsi="宋体" w:eastAsia="宋体" w:cs="宋体"/>
          <w:sz w:val="21"/>
          <w:szCs w:val="21"/>
          <w:highlight w:val="cyan"/>
          <w:lang w:eastAsia="zh-CN"/>
        </w:rPr>
        <w:t>常态化活动（中国医药城政策发布暨项目签约仪式</w:t>
      </w:r>
      <w:r>
        <w:rPr>
          <w:rFonts w:hint="eastAsia" w:ascii="宋体" w:hAnsi="宋体" w:cs="宋体"/>
          <w:sz w:val="21"/>
          <w:szCs w:val="21"/>
          <w:highlight w:val="cyan"/>
          <w:lang w:eastAsia="zh-CN"/>
        </w:rPr>
        <w:t>），</w:t>
      </w:r>
      <w:r>
        <w:rPr>
          <w:rFonts w:hint="eastAsia" w:ascii="宋体" w:hAnsi="宋体" w:eastAsia="宋体" w:cs="宋体"/>
          <w:sz w:val="21"/>
          <w:szCs w:val="21"/>
          <w:highlight w:val="none"/>
          <w:lang w:eastAsia="zh-CN"/>
        </w:rPr>
        <w:t>创新生态活动矩阵（活动版块1</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生物科技成果转化与金融赋能、活动版块2</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生物医药未来发展与创新应用、活动版块3</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合成生物学技术与绿色生物制造、活动版块4</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医药出海与跨境合作、活动版块5</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医药产业创新与人才发展、活动版块6</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大健康产业新图景与新趋势）</w:t>
      </w:r>
    </w:p>
    <w:p w14:paraId="65822BD7">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第二天：全天创新生态活动矩阵（活动版块1</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生物科技成果转化与金融赋能、活动版块2</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生物医药未来发展与创新应用、活动版块3</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合成生物学技术与绿色生物制造、活动版块4</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医药出海与跨境合作、活动版块5</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医药产业创新与人才发展、活动版块6</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大健康产业新图景与新趋势</w:t>
      </w:r>
      <w:r>
        <w:rPr>
          <w:rFonts w:hint="eastAsia" w:ascii="宋体" w:hAnsi="宋体" w:eastAsia="宋体" w:cs="宋体"/>
          <w:sz w:val="21"/>
          <w:szCs w:val="21"/>
          <w:highlight w:val="none"/>
          <w:lang w:val="en-US" w:eastAsia="zh-CN"/>
        </w:rPr>
        <w:t>）</w:t>
      </w:r>
    </w:p>
    <w:p w14:paraId="1B97846A">
      <w:pPr>
        <w:pageBreakBefore w:val="0"/>
        <w:spacing w:line="360" w:lineRule="auto"/>
        <w:ind w:firstLine="420"/>
        <w:rPr>
          <w:rFonts w:hint="default"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第三天：上午创新生态活动矩阵（</w:t>
      </w:r>
      <w:r>
        <w:rPr>
          <w:rFonts w:hint="eastAsia" w:ascii="宋体" w:hAnsi="宋体" w:eastAsia="宋体" w:cs="宋体"/>
          <w:sz w:val="21"/>
          <w:szCs w:val="21"/>
          <w:highlight w:val="none"/>
          <w:lang w:eastAsia="zh-CN"/>
        </w:rPr>
        <w:t>活动版块1</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生物科技成果转化与金融赋能、活动版块2</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生物医药未来发展与创新应用、活动版块3</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合成生物学技术与绿色生物制造、活动版块4</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医药出海与跨境合作、活动版块5</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医药产业创新与人才发展、活动版块6</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eastAsia="zh-CN"/>
        </w:rPr>
        <w:t>大健康产业新图景与新趋势</w:t>
      </w: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w:t>
      </w:r>
    </w:p>
    <w:p w14:paraId="7931B9DB">
      <w:pPr>
        <w:pStyle w:val="2"/>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注：最终活动安排以主办方实际需求进行调整。</w:t>
      </w:r>
    </w:p>
    <w:p w14:paraId="225C15CC">
      <w:pPr>
        <w:pageBreakBefore w:val="0"/>
        <w:numPr>
          <w:ilvl w:val="0"/>
          <w:numId w:val="0"/>
        </w:num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论坛规模要求：</w:t>
      </w:r>
    </w:p>
    <w:p w14:paraId="0B7E7049">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（1）1场</w:t>
      </w:r>
      <w:r>
        <w:rPr>
          <w:rFonts w:hint="eastAsia" w:ascii="宋体" w:hAnsi="宋体" w:cs="宋体"/>
          <w:sz w:val="21"/>
          <w:szCs w:val="21"/>
          <w:highlight w:val="none"/>
          <w:lang w:val="en-US" w:eastAsia="zh-CN"/>
        </w:rPr>
        <w:t>主旨报告，</w:t>
      </w:r>
      <w:r>
        <w:rPr>
          <w:rFonts w:hint="eastAsia" w:ascii="宋体" w:hAnsi="宋体" w:eastAsia="宋体" w:cs="宋体"/>
          <w:sz w:val="21"/>
          <w:szCs w:val="21"/>
          <w:highlight w:val="none"/>
          <w:lang w:val="en-US" w:eastAsia="zh-CN"/>
        </w:rPr>
        <w:t>不少于1500人；</w:t>
      </w:r>
    </w:p>
    <w:p w14:paraId="438596E2">
      <w:pPr>
        <w:pStyle w:val="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（2）常态化活动（</w:t>
      </w:r>
      <w:r>
        <w:rPr>
          <w:rFonts w:hint="eastAsia" w:ascii="宋体" w:hAnsi="宋体" w:eastAsia="宋体" w:cs="宋体"/>
          <w:sz w:val="21"/>
          <w:szCs w:val="21"/>
          <w:highlight w:val="none"/>
          <w:lang w:eastAsia="zh-CN"/>
        </w:rPr>
        <w:t>省部共同推进泰州医药高新区建设联席会议第十四次会议</w:t>
      </w:r>
      <w:r>
        <w:rPr>
          <w:rFonts w:hint="eastAsia" w:ascii="宋体" w:hAnsi="宋体" w:eastAsia="宋体" w:cs="宋体"/>
          <w:sz w:val="21"/>
          <w:szCs w:val="21"/>
          <w:highlight w:val="none"/>
          <w:lang w:val="en-US" w:eastAsia="zh-CN"/>
        </w:rPr>
        <w:t>）不少于20人；</w:t>
      </w:r>
    </w:p>
    <w:p w14:paraId="35EDCF15">
      <w:pPr>
        <w:spacing w:line="360" w:lineRule="auto"/>
        <w:ind w:firstLine="42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（3）常态化活动</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eastAsia="zh-CN"/>
        </w:rPr>
        <w:t>中国医药城政策发布暨项目签约仪式</w:t>
      </w:r>
      <w:r>
        <w:rPr>
          <w:rFonts w:hint="eastAsia" w:ascii="宋体" w:hAnsi="宋体" w:cs="宋体"/>
          <w:sz w:val="21"/>
          <w:szCs w:val="21"/>
          <w:highlight w:val="none"/>
          <w:lang w:val="en-US" w:eastAsia="zh-CN"/>
        </w:rPr>
        <w:t>）不少于100人；</w:t>
      </w:r>
    </w:p>
    <w:p w14:paraId="6002E989">
      <w:pPr>
        <w:spacing w:line="360" w:lineRule="auto"/>
        <w:ind w:firstLine="420"/>
        <w:rPr>
          <w:rFonts w:hint="default" w:ascii="宋体" w:hAnsi="宋体" w:eastAsia="宋体" w:cs="宋体"/>
          <w:szCs w:val="21"/>
          <w:highlight w:val="none"/>
          <w:lang w:val="en-US" w:eastAsia="zh-CN"/>
        </w:rPr>
      </w:pPr>
      <w:r>
        <w:rPr>
          <w:rFonts w:hint="eastAsia" w:ascii="宋体" w:hAnsi="宋体" w:eastAsia="宋体" w:cs="宋体"/>
          <w:sz w:val="21"/>
          <w:szCs w:val="21"/>
          <w:highlight w:val="none"/>
          <w:lang w:val="en-US" w:eastAsia="zh-CN"/>
        </w:rPr>
        <w:t>（4）创新生态活动矩阵，每</w:t>
      </w:r>
      <w:r>
        <w:rPr>
          <w:rFonts w:hint="eastAsia" w:ascii="宋体" w:hAnsi="宋体" w:cs="宋体"/>
          <w:sz w:val="21"/>
          <w:szCs w:val="21"/>
          <w:highlight w:val="none"/>
          <w:lang w:val="en-US" w:eastAsia="zh-CN"/>
        </w:rPr>
        <w:t>个版块</w:t>
      </w:r>
      <w:r>
        <w:rPr>
          <w:rFonts w:hint="eastAsia" w:ascii="宋体" w:hAnsi="宋体" w:eastAsia="宋体" w:cs="宋体"/>
          <w:sz w:val="21"/>
          <w:szCs w:val="21"/>
          <w:highlight w:val="none"/>
          <w:lang w:val="en-US" w:eastAsia="zh-CN"/>
        </w:rPr>
        <w:t>不少于150人；</w:t>
      </w:r>
    </w:p>
    <w:p w14:paraId="73F709B6">
      <w:pPr>
        <w:pageBreakBefore w:val="0"/>
        <w:spacing w:line="360" w:lineRule="auto"/>
        <w:ind w:firstLine="420"/>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注：最终以实际参会人数为准。</w:t>
      </w:r>
    </w:p>
    <w:p w14:paraId="246DFD25">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5.主要服务内容：负责活动的整体策划、视觉设计、签到注册、搭建布置 （包括主会场及分会议室的规划、场馆室内外的氛围布置）、媒体宣传和推广、 印刷物料制作、安排 VIP 和演讲嘉宾的交通、住宿、餐饮、接送等接待工作。</w:t>
      </w:r>
    </w:p>
    <w:p w14:paraId="0A63E90A">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.服务要求</w:t>
      </w:r>
    </w:p>
    <w:p w14:paraId="16C42F98">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（1）负责此次活动的策划、组织及现场执行工作；</w:t>
      </w:r>
    </w:p>
    <w:p w14:paraId="193D2073">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（2）负责本次活动的相关会务接待、车辆租赁工作；</w:t>
      </w:r>
    </w:p>
    <w:p w14:paraId="20FAAD24">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（3）负责本次活动的会场布置、舞台搭建、音响配套及活动氛围布置；</w:t>
      </w:r>
    </w:p>
    <w:p w14:paraId="74F208F0">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（4）负责在活动相关媒体宣传报道；</w:t>
      </w:r>
    </w:p>
    <w:p w14:paraId="3373670E">
      <w:pPr>
        <w:pageBreakBefore w:val="0"/>
        <w:spacing w:line="360" w:lineRule="auto"/>
        <w:ind w:firstLine="42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（5）负责本次活动的相关视频、图片资料的留存工作。</w:t>
      </w:r>
    </w:p>
    <w:p w14:paraId="74A26E0D">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三、技术要求</w:t>
      </w:r>
    </w:p>
    <w:p w14:paraId="6A7A513C">
      <w:pPr>
        <w:pageBreakBefore w:val="0"/>
        <w:spacing w:line="360" w:lineRule="auto"/>
        <w:ind w:firstLine="422"/>
        <w:rPr>
          <w:rFonts w:hint="eastAsia" w:ascii="宋体" w:hAnsi="宋体" w:eastAsia="宋体" w:cs="宋体"/>
          <w:b/>
          <w:sz w:val="21"/>
          <w:szCs w:val="21"/>
          <w:highlight w:val="none"/>
          <w:lang w:val="en-US" w:eastAsia="zh-CN"/>
        </w:rPr>
      </w:pPr>
      <w:bookmarkStart w:id="95" w:name="_Toc511092169"/>
      <w:bookmarkEnd w:id="95"/>
      <w:bookmarkStart w:id="96" w:name="_Toc16831"/>
      <w:bookmarkEnd w:id="96"/>
      <w:r>
        <w:rPr>
          <w:rFonts w:hint="eastAsia" w:ascii="宋体" w:hAnsi="宋体" w:eastAsia="宋体" w:cs="宋体"/>
          <w:b/>
          <w:sz w:val="21"/>
          <w:szCs w:val="21"/>
          <w:highlight w:val="none"/>
          <w:lang w:val="en-US" w:eastAsia="zh-CN"/>
        </w:rPr>
        <w:t>（一）整体策划</w:t>
      </w:r>
    </w:p>
    <w:p w14:paraId="75AA1660">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1.会议和论坛的方案策划、议程设定、文案、协调、执行服务等。</w:t>
      </w:r>
    </w:p>
    <w:p w14:paraId="02D7A721">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2.协调论坛整体设计，媒体宣传推广等。</w:t>
      </w:r>
    </w:p>
    <w:p w14:paraId="68AC2DB9">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会后服务。</w:t>
      </w:r>
    </w:p>
    <w:p w14:paraId="473DCA3D">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（二）会务组织</w:t>
      </w:r>
    </w:p>
    <w:p w14:paraId="7D89EBA2">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1.活动现场布置及流程管控</w:t>
      </w:r>
    </w:p>
    <w:p w14:paraId="0CE45E22">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根据会议主办方要求，</w:t>
      </w:r>
      <w:r>
        <w:rPr>
          <w:rFonts w:hint="eastAsia" w:ascii="宋体" w:hAnsi="宋体" w:cs="宋体"/>
          <w:szCs w:val="21"/>
          <w:highlight w:val="none"/>
          <w:lang w:val="en-US" w:eastAsia="zh-CN"/>
        </w:rPr>
        <w:t>负责大会期间主旨报告及其他活动等</w:t>
      </w:r>
      <w:r>
        <w:rPr>
          <w:rFonts w:hint="eastAsia" w:ascii="宋体" w:hAnsi="宋体" w:eastAsia="宋体" w:cs="宋体"/>
          <w:sz w:val="21"/>
          <w:szCs w:val="21"/>
          <w:highlight w:val="none"/>
          <w:lang w:val="en-US" w:eastAsia="zh-CN"/>
        </w:rPr>
        <w:t>所有会场的现场布置和全流程管控，包括但不限于音视频控制、礼仪安排、志愿者、现场签到、图文、速记、会议推广等。负责协调与微信公众号的对接和使用。</w:t>
      </w:r>
    </w:p>
    <w:p w14:paraId="27D63C6C">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2.交通和食宿保障</w:t>
      </w:r>
    </w:p>
    <w:p w14:paraId="6262F27F">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根据会议主办方要求，与参会及演讲嘉宾、会议战略合作单位、酒店进行沟通衔接，做好会议期间的交通和食宿保障工作。</w:t>
      </w:r>
    </w:p>
    <w:p w14:paraId="1E399255">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（三）参会及演讲嘉宾和专业观众的邀请</w:t>
      </w:r>
    </w:p>
    <w:p w14:paraId="1C7FD39A">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负责参会及演讲嘉宾和专业观众的邀请工作，承担参会及演讲嘉宾的服务费和交通费（含城际和市内），承担参会人员的接驳车辆和会议应急调度车辆的相关费用。参会及演讲嘉宾、其他所有参会人员的信息资料保密，不得泄露，不得商业应用。</w:t>
      </w:r>
    </w:p>
    <w:p w14:paraId="75B64A08">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（四）会务执行</w:t>
      </w:r>
    </w:p>
    <w:p w14:paraId="1D3988BD">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1.负责</w:t>
      </w:r>
      <w:r>
        <w:rPr>
          <w:rFonts w:hint="eastAsia" w:ascii="宋体" w:hAnsi="宋体" w:cs="宋体"/>
          <w:szCs w:val="21"/>
          <w:highlight w:val="none"/>
          <w:lang w:val="en-US" w:eastAsia="zh-CN"/>
        </w:rPr>
        <w:t>主旨报告</w:t>
      </w:r>
      <w:r>
        <w:rPr>
          <w:rFonts w:hint="eastAsia" w:ascii="宋体" w:hAnsi="宋体" w:eastAsia="宋体" w:cs="宋体"/>
          <w:sz w:val="21"/>
          <w:szCs w:val="21"/>
          <w:highlight w:val="none"/>
          <w:lang w:val="en-US" w:eastAsia="zh-CN"/>
        </w:rPr>
        <w:t>及其他</w:t>
      </w:r>
      <w:r>
        <w:rPr>
          <w:rFonts w:hint="eastAsia" w:ascii="宋体" w:hAnsi="宋体" w:cs="宋体"/>
          <w:sz w:val="21"/>
          <w:szCs w:val="21"/>
          <w:highlight w:val="none"/>
          <w:lang w:val="en-US" w:eastAsia="zh-CN"/>
        </w:rPr>
        <w:t>活动</w:t>
      </w:r>
      <w:r>
        <w:rPr>
          <w:rFonts w:hint="eastAsia" w:ascii="宋体" w:hAnsi="宋体" w:eastAsia="宋体" w:cs="宋体"/>
          <w:sz w:val="21"/>
          <w:szCs w:val="21"/>
          <w:highlight w:val="none"/>
          <w:lang w:val="en-US" w:eastAsia="zh-CN"/>
        </w:rPr>
        <w:t>等所有会议会场的延展设计、舞美搭建、音响系统、视频系统、灯光系统、会务配套、会议系统、会务物料、会议资料、会场服务、会场通讯保障、道具、主持人、会场酒店周边氛围，协调主视觉设计。</w:t>
      </w:r>
    </w:p>
    <w:p w14:paraId="23774A64">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2.从成交之日起，安排不少于</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val="en-US" w:eastAsia="zh-CN"/>
        </w:rPr>
        <w:t>名专业人员驻地工作。</w:t>
      </w:r>
    </w:p>
    <w:p w14:paraId="10158E8D">
      <w:pPr>
        <w:pageBreakBefore w:val="0"/>
        <w:spacing w:line="360" w:lineRule="auto"/>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四、绩效考核</w:t>
      </w:r>
    </w:p>
    <w:p w14:paraId="32BE5BE7">
      <w:pPr>
        <w:pStyle w:val="3"/>
        <w:keepNext w:val="0"/>
        <w:keepLines w:val="0"/>
        <w:pageBreakBefore w:val="0"/>
        <w:widowControl w:val="0"/>
        <w:spacing w:line="360" w:lineRule="auto"/>
        <w:ind w:firstLine="422"/>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（一）对</w:t>
      </w:r>
      <w:r>
        <w:rPr>
          <w:rFonts w:hint="eastAsia" w:ascii="宋体" w:hAnsi="宋体" w:eastAsia="宋体" w:cs="宋体"/>
          <w:b/>
          <w:color w:val="auto"/>
          <w:sz w:val="21"/>
          <w:szCs w:val="21"/>
          <w:highlight w:val="none"/>
          <w:lang w:eastAsia="zh-CN"/>
        </w:rPr>
        <w:t>参会及演讲嘉宾</w:t>
      </w:r>
      <w:r>
        <w:rPr>
          <w:rFonts w:hint="eastAsia" w:ascii="宋体" w:hAnsi="宋体" w:eastAsia="宋体" w:cs="宋体"/>
          <w:b/>
          <w:color w:val="auto"/>
          <w:sz w:val="21"/>
          <w:szCs w:val="21"/>
          <w:highlight w:val="none"/>
        </w:rPr>
        <w:t>的考核</w:t>
      </w:r>
    </w:p>
    <w:p w14:paraId="4A25508B">
      <w:pPr>
        <w:pStyle w:val="3"/>
        <w:spacing w:line="360" w:lineRule="auto"/>
        <w:ind w:firstLine="42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按照会议主办方最终确定的邀请嘉宾名单，中标单位确保出席大会的参会重要嘉宾人数不少于</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0人。</w:t>
      </w:r>
    </w:p>
    <w:p w14:paraId="166A97CD">
      <w:pPr>
        <w:pStyle w:val="3"/>
        <w:pageBreakBefore w:val="0"/>
        <w:spacing w:line="360" w:lineRule="auto"/>
        <w:ind w:firstLine="422"/>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（二）对普通参会人员的考核</w:t>
      </w:r>
    </w:p>
    <w:p w14:paraId="41560802">
      <w:pPr>
        <w:pStyle w:val="3"/>
        <w:spacing w:line="360" w:lineRule="auto"/>
        <w:ind w:firstLine="42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按照会议主办方的要求，中标单位邀请专业参会人员的数量（以实际参会人数为准）不少于</w:t>
      </w:r>
      <w:r>
        <w:rPr>
          <w:rFonts w:hint="eastAsia" w:ascii="宋体" w:hAnsi="宋体" w:eastAsia="宋体" w:cs="宋体"/>
          <w:color w:val="auto"/>
          <w:sz w:val="21"/>
          <w:szCs w:val="21"/>
          <w:highlight w:val="none"/>
          <w:lang w:val="en-US" w:eastAsia="zh-CN"/>
        </w:rPr>
        <w:t>服务内容要求的规模</w:t>
      </w:r>
      <w:r>
        <w:rPr>
          <w:rFonts w:hint="eastAsia" w:ascii="宋体" w:hAnsi="宋体" w:eastAsia="宋体" w:cs="宋体"/>
          <w:color w:val="auto"/>
          <w:sz w:val="21"/>
          <w:szCs w:val="21"/>
          <w:highlight w:val="none"/>
        </w:rPr>
        <w:t>，并确保大会当天全天参会。</w:t>
      </w:r>
    </w:p>
    <w:p w14:paraId="4127B073">
      <w:pPr>
        <w:pStyle w:val="3"/>
        <w:pageBreakBefore w:val="0"/>
        <w:spacing w:line="360" w:lineRule="auto"/>
        <w:ind w:firstLine="422"/>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（三）对会后服务的考核</w:t>
      </w:r>
    </w:p>
    <w:p w14:paraId="17035CA9">
      <w:pPr>
        <w:pStyle w:val="3"/>
        <w:spacing w:line="360" w:lineRule="auto"/>
        <w:ind w:firstLine="42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后中标单位须根据会议主办方的要求做好书面总结、嘉宾回访等工作。会议主办方将根据大会总结、回访小结的情况，邀请本次大会的战略合作伙伴，对大会进行绩效评价。绩效评价结果将作为本项目尾款支付的主要依据。</w:t>
      </w:r>
    </w:p>
    <w:p w14:paraId="3D8D9C11">
      <w:pPr>
        <w:pageBreakBefore w:val="0"/>
        <w:spacing w:line="360" w:lineRule="auto"/>
        <w:ind w:firstLine="422"/>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五</w:t>
      </w:r>
      <w:r>
        <w:rPr>
          <w:rFonts w:hint="eastAsia" w:ascii="宋体" w:hAnsi="宋体" w:eastAsia="宋体" w:cs="宋体"/>
          <w:b/>
          <w:sz w:val="21"/>
          <w:szCs w:val="21"/>
          <w:highlight w:val="none"/>
          <w:lang w:eastAsia="zh-CN"/>
        </w:rPr>
        <w:t>、合同签订与付款</w:t>
      </w:r>
    </w:p>
    <w:p w14:paraId="2C820EC5">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成交结果公示结束后，采购方与供应商应签订采购合同。参考以下时间和比例要求支付相关费用。</w:t>
      </w:r>
    </w:p>
    <w:p w14:paraId="63B71EDE">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付款方式：项目合同签订后，5个工作日内会议主办方向成交单位支付项目合同总金额的30%；</w:t>
      </w:r>
    </w:p>
    <w:p w14:paraId="3EC3D25B">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大会开幕前5个工作日内会议主办方向成交单位支付至项目合同总金额的60%；</w:t>
      </w:r>
    </w:p>
    <w:p w14:paraId="5AFDA202">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大会结束后，依据会议总结报告、到会嘉宾和参会人员的考核情况以及合同协议服务费用最终结算申请等财务单据，在会议相关审计完成后10个工作日内，会议主办方向成交单位支付至项目合同总金额的90%；</w:t>
      </w:r>
    </w:p>
    <w:p w14:paraId="4B7D5810">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剩余项目合同总金额的10%作为尾款，在会议主办方对本次会议进行绩效评价后，按照绩效评价情况进行支付。</w:t>
      </w:r>
    </w:p>
    <w:p w14:paraId="4CC54B8A">
      <w:pPr>
        <w:pStyle w:val="3"/>
        <w:pageBreakBefore w:val="0"/>
        <w:spacing w:line="360" w:lineRule="auto"/>
        <w:ind w:left="0" w:firstLine="420"/>
        <w:contextualSpacing/>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SA"/>
        </w:rPr>
        <w:t>每次付款前，成交单位应向会议主办方提供合法有效的发票，否则会议主办方有权拒绝付款且不承担任何责任。</w:t>
      </w:r>
    </w:p>
    <w:p w14:paraId="76981B95">
      <w:pPr>
        <w:rPr>
          <w:highlight w:val="none"/>
        </w:rPr>
      </w:pPr>
    </w:p>
    <w:p w14:paraId="0E073E3C">
      <w:pPr>
        <w:pStyle w:val="2"/>
        <w:rPr>
          <w:rFonts w:hint="eastAsia"/>
          <w:highlight w:val="none"/>
        </w:rPr>
        <w:sectPr>
          <w:footerReference r:id="rId9" w:type="default"/>
          <w:pgSz w:w="11907" w:h="16840"/>
          <w:pgMar w:top="1134" w:right="1134" w:bottom="1134" w:left="1560" w:header="851" w:footer="851" w:gutter="0"/>
          <w:cols w:space="720" w:num="1"/>
          <w:docGrid w:linePitch="312" w:charSpace="0"/>
        </w:sectPr>
      </w:pPr>
    </w:p>
    <w:bookmarkEnd w:id="92"/>
    <w:bookmarkEnd w:id="93"/>
    <w:p w14:paraId="440996D9">
      <w:pPr>
        <w:pStyle w:val="5"/>
        <w:numPr>
          <w:ilvl w:val="0"/>
          <w:numId w:val="3"/>
        </w:numPr>
        <w:spacing w:line="360" w:lineRule="auto"/>
        <w:ind w:firstLine="422" w:firstLineChars="200"/>
        <w:jc w:val="center"/>
        <w:rPr>
          <w:rFonts w:hint="eastAsia" w:ascii="宋体" w:hAnsi="宋体" w:eastAsia="宋体"/>
          <w:b/>
          <w:sz w:val="21"/>
          <w:szCs w:val="21"/>
          <w:highlight w:val="none"/>
        </w:rPr>
      </w:pPr>
      <w:bookmarkStart w:id="97" w:name="_Toc86268903"/>
      <w:bookmarkStart w:id="98" w:name="_Toc26554097"/>
      <w:bookmarkStart w:id="99" w:name="_Toc23828480"/>
      <w:bookmarkStart w:id="100" w:name="_Toc61149622"/>
      <w:r>
        <w:rPr>
          <w:rFonts w:hint="eastAsia" w:ascii="宋体" w:hAnsi="宋体" w:eastAsia="宋体"/>
          <w:b/>
          <w:sz w:val="21"/>
          <w:szCs w:val="21"/>
          <w:highlight w:val="none"/>
        </w:rPr>
        <w:t xml:space="preserve"> 评审方法和评审标准</w:t>
      </w:r>
      <w:bookmarkEnd w:id="97"/>
    </w:p>
    <w:p w14:paraId="3EECE750">
      <w:pPr>
        <w:spacing w:line="360" w:lineRule="auto"/>
        <w:ind w:firstLine="482"/>
        <w:rPr>
          <w:rFonts w:hint="eastAsia" w:ascii="宋体" w:hAnsi="宋体" w:cs="宋体"/>
          <w:b/>
          <w:szCs w:val="21"/>
          <w:highlight w:val="none"/>
        </w:rPr>
      </w:pPr>
      <w:r>
        <w:rPr>
          <w:rFonts w:hint="eastAsia" w:ascii="宋体" w:hAnsi="宋体" w:cs="宋体"/>
          <w:b/>
          <w:szCs w:val="21"/>
          <w:highlight w:val="none"/>
        </w:rPr>
        <w:t>一、磋商模式</w:t>
      </w:r>
    </w:p>
    <w:p w14:paraId="2172B1CB">
      <w:pPr>
        <w:spacing w:line="360" w:lineRule="auto"/>
        <w:ind w:firstLine="480"/>
        <w:rPr>
          <w:rFonts w:hint="eastAsia" w:ascii="宋体" w:hAnsi="宋体" w:cs="宋体"/>
          <w:szCs w:val="21"/>
          <w:highlight w:val="none"/>
        </w:rPr>
      </w:pPr>
      <w:r>
        <w:rPr>
          <w:rFonts w:hint="eastAsia" w:ascii="宋体" w:hAnsi="宋体" w:cs="宋体"/>
          <w:szCs w:val="21"/>
          <w:highlight w:val="none"/>
        </w:rPr>
        <w:t>不见面远程磋商模式：开标当天各供应商在各自地点通过苏采云系统及时登录不见面开标大厅，参加磋商活动。</w:t>
      </w:r>
    </w:p>
    <w:p w14:paraId="481B8865">
      <w:pPr>
        <w:spacing w:line="360" w:lineRule="auto"/>
        <w:ind w:firstLine="482"/>
        <w:rPr>
          <w:rFonts w:hint="eastAsia" w:ascii="宋体" w:hAnsi="宋体" w:cs="宋体"/>
          <w:b/>
          <w:szCs w:val="21"/>
          <w:highlight w:val="none"/>
        </w:rPr>
      </w:pPr>
      <w:r>
        <w:rPr>
          <w:rFonts w:hint="eastAsia" w:ascii="宋体" w:hAnsi="宋体" w:cs="宋体"/>
          <w:b/>
          <w:szCs w:val="21"/>
          <w:highlight w:val="none"/>
        </w:rPr>
        <w:t>二、磋商组织及磋商小组职责</w:t>
      </w:r>
    </w:p>
    <w:p w14:paraId="634C67C0">
      <w:pPr>
        <w:spacing w:line="360" w:lineRule="auto"/>
        <w:ind w:firstLine="480"/>
        <w:rPr>
          <w:rFonts w:hint="eastAsia" w:ascii="宋体" w:hAnsi="宋体" w:cs="宋体"/>
          <w:szCs w:val="21"/>
          <w:highlight w:val="none"/>
        </w:rPr>
      </w:pPr>
      <w:r>
        <w:rPr>
          <w:rFonts w:hint="eastAsia" w:ascii="宋体" w:hAnsi="宋体" w:cs="宋体"/>
          <w:szCs w:val="21"/>
          <w:highlight w:val="none"/>
        </w:rPr>
        <w:t>1.本次竞争性磋商依据《中华人民共和国政府采购法》《政府采购竞争性磋商采购方式管理暂行办法》及有关法规成立磋商小组。磋商小组由采购人代表和评审专家共3人及以上单数组成。</w:t>
      </w:r>
    </w:p>
    <w:p w14:paraId="05352185">
      <w:pPr>
        <w:spacing w:line="360" w:lineRule="auto"/>
        <w:ind w:firstLine="480"/>
        <w:rPr>
          <w:rFonts w:hint="eastAsia" w:ascii="宋体" w:hAnsi="宋体" w:cs="宋体"/>
          <w:szCs w:val="21"/>
          <w:highlight w:val="none"/>
        </w:rPr>
      </w:pPr>
      <w:r>
        <w:rPr>
          <w:rFonts w:hint="eastAsia" w:ascii="宋体" w:hAnsi="宋体" w:cs="宋体"/>
          <w:szCs w:val="21"/>
          <w:highlight w:val="none"/>
        </w:rPr>
        <w:t>2.磋商小组的职责：</w:t>
      </w:r>
    </w:p>
    <w:p w14:paraId="6253ACF4">
      <w:pPr>
        <w:spacing w:line="360" w:lineRule="auto"/>
        <w:ind w:firstLine="480"/>
        <w:rPr>
          <w:rFonts w:hint="eastAsia" w:ascii="宋体" w:hAnsi="宋体" w:cs="宋体"/>
          <w:szCs w:val="21"/>
          <w:highlight w:val="none"/>
        </w:rPr>
      </w:pPr>
      <w:r>
        <w:rPr>
          <w:rFonts w:hint="eastAsia" w:ascii="宋体" w:hAnsi="宋体" w:cs="宋体"/>
          <w:szCs w:val="21"/>
          <w:highlight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F1EEAFA">
      <w:pPr>
        <w:spacing w:line="360" w:lineRule="auto"/>
        <w:ind w:firstLine="480"/>
        <w:rPr>
          <w:rFonts w:hint="eastAsia" w:ascii="宋体" w:hAnsi="宋体" w:cs="宋体"/>
          <w:szCs w:val="21"/>
          <w:highlight w:val="none"/>
        </w:rPr>
      </w:pPr>
      <w:r>
        <w:rPr>
          <w:rFonts w:hint="eastAsia" w:ascii="宋体" w:hAnsi="宋体" w:cs="宋体"/>
          <w:szCs w:val="21"/>
          <w:highlight w:val="none"/>
        </w:rPr>
        <w:t>（2）磋商文件内容违反国家有关强制性规定的，磋商小组应当停止评审并向采购人或者采购代理机构说明情况。</w:t>
      </w:r>
    </w:p>
    <w:p w14:paraId="20294699">
      <w:pPr>
        <w:spacing w:line="360" w:lineRule="auto"/>
        <w:ind w:firstLine="480"/>
        <w:rPr>
          <w:rFonts w:hint="eastAsia" w:ascii="宋体" w:hAnsi="宋体" w:cs="宋体"/>
          <w:szCs w:val="21"/>
          <w:highlight w:val="none"/>
        </w:rPr>
      </w:pPr>
      <w:r>
        <w:rPr>
          <w:rFonts w:hint="eastAsia" w:ascii="宋体" w:hAnsi="宋体" w:cs="宋体"/>
          <w:szCs w:val="21"/>
          <w:highlight w:val="none"/>
        </w:rPr>
        <w:t>（3）磋商小组成员应当遵守评审工作纪律，不得泄露评审情况和评审中获悉的商业秘密，对个人的评审意见承担法律责任。</w:t>
      </w:r>
    </w:p>
    <w:p w14:paraId="6A8623E3">
      <w:pPr>
        <w:spacing w:line="360" w:lineRule="auto"/>
        <w:ind w:firstLine="480"/>
        <w:rPr>
          <w:rFonts w:hint="eastAsia" w:ascii="宋体" w:hAnsi="宋体" w:cs="宋体"/>
          <w:szCs w:val="21"/>
          <w:highlight w:val="none"/>
        </w:rPr>
      </w:pPr>
      <w:r>
        <w:rPr>
          <w:rFonts w:hint="eastAsia" w:ascii="宋体" w:hAnsi="宋体" w:cs="宋体"/>
          <w:szCs w:val="21"/>
          <w:highlight w:val="none"/>
        </w:rPr>
        <w:t>（4）磋商小组成员在评审过程中发现供应商有行贿、提供虚假材料或者串通投标等违法行为的，应当及时向财政部门报告。</w:t>
      </w:r>
    </w:p>
    <w:p w14:paraId="371BA02B">
      <w:pPr>
        <w:spacing w:line="360" w:lineRule="auto"/>
        <w:ind w:firstLine="480"/>
        <w:rPr>
          <w:rFonts w:hint="eastAsia" w:ascii="宋体" w:hAnsi="宋体" w:cs="宋体"/>
          <w:szCs w:val="21"/>
          <w:highlight w:val="none"/>
        </w:rPr>
      </w:pPr>
      <w:r>
        <w:rPr>
          <w:rFonts w:hint="eastAsia" w:ascii="宋体" w:hAnsi="宋体" w:cs="宋体"/>
          <w:szCs w:val="21"/>
          <w:highlight w:val="none"/>
        </w:rPr>
        <w:t>（5）磋商小组成员在评审过程中受到非法干涉的，应当及时向财政、监察等部门举报。</w:t>
      </w:r>
    </w:p>
    <w:p w14:paraId="39DC7042">
      <w:pPr>
        <w:spacing w:line="360" w:lineRule="auto"/>
        <w:ind w:firstLine="480"/>
        <w:rPr>
          <w:rFonts w:hint="eastAsia" w:ascii="宋体" w:hAnsi="宋体" w:cs="宋体"/>
          <w:szCs w:val="21"/>
          <w:highlight w:val="none"/>
        </w:rPr>
      </w:pPr>
      <w:r>
        <w:rPr>
          <w:rFonts w:hint="eastAsia" w:ascii="宋体" w:hAnsi="宋体" w:cs="宋体"/>
          <w:szCs w:val="21"/>
          <w:highlight w:val="none"/>
        </w:rPr>
        <w:t>（6）配合采购单位答复供应商提出的质疑；配合财政部门的投诉处理和监督检查工作。</w:t>
      </w:r>
    </w:p>
    <w:p w14:paraId="58CB5743">
      <w:pPr>
        <w:spacing w:line="360" w:lineRule="auto"/>
        <w:ind w:firstLine="480"/>
        <w:rPr>
          <w:rFonts w:hint="eastAsia" w:ascii="宋体" w:hAnsi="宋体" w:cs="宋体"/>
          <w:szCs w:val="21"/>
          <w:highlight w:val="none"/>
        </w:rPr>
      </w:pPr>
      <w:r>
        <w:rPr>
          <w:rFonts w:hint="eastAsia" w:ascii="宋体" w:hAnsi="宋体" w:cs="宋体"/>
          <w:szCs w:val="21"/>
          <w:highlight w:val="none"/>
        </w:rPr>
        <w:t>3.评审有关记录由磋商小组成员签名，存档备查。</w:t>
      </w:r>
    </w:p>
    <w:p w14:paraId="0BDF8387">
      <w:pPr>
        <w:spacing w:line="360" w:lineRule="auto"/>
        <w:ind w:firstLine="482"/>
        <w:rPr>
          <w:rFonts w:hint="eastAsia" w:ascii="宋体" w:hAnsi="宋体" w:cs="宋体"/>
          <w:b/>
          <w:szCs w:val="21"/>
          <w:highlight w:val="none"/>
        </w:rPr>
      </w:pPr>
      <w:r>
        <w:rPr>
          <w:rFonts w:hint="eastAsia" w:ascii="宋体" w:hAnsi="宋体" w:cs="宋体"/>
          <w:b/>
          <w:szCs w:val="21"/>
          <w:highlight w:val="none"/>
        </w:rPr>
        <w:t>三、评审步骤</w:t>
      </w:r>
    </w:p>
    <w:p w14:paraId="18C591E2">
      <w:pPr>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第一阶段：</w:t>
      </w:r>
      <w:r>
        <w:rPr>
          <w:rFonts w:hint="eastAsia" w:ascii="宋体" w:hAnsi="宋体" w:cs="宋体"/>
          <w:szCs w:val="21"/>
          <w:highlight w:val="none"/>
        </w:rPr>
        <w:t>采购人代表</w:t>
      </w:r>
      <w:r>
        <w:rPr>
          <w:rFonts w:hint="eastAsia" w:ascii="宋体" w:hAnsi="宋体" w:cs="宋体"/>
          <w:szCs w:val="21"/>
          <w:highlight w:val="none"/>
          <w:lang w:val="zh-CN"/>
        </w:rPr>
        <w:t>对每个供应商的资格进行审查。</w:t>
      </w:r>
      <w:r>
        <w:rPr>
          <w:rFonts w:hint="eastAsia" w:ascii="宋体" w:hAnsi="宋体" w:cs="宋体"/>
          <w:szCs w:val="21"/>
          <w:highlight w:val="none"/>
        </w:rPr>
        <w:t>供应商资格不合格的，其响应文件判定为无效响应文件。</w:t>
      </w:r>
    </w:p>
    <w:p w14:paraId="6E7A5BA6">
      <w:pPr>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第二阶段：</w:t>
      </w:r>
      <w:r>
        <w:rPr>
          <w:rFonts w:hint="eastAsia" w:ascii="宋体" w:hAnsi="宋体" w:cs="宋体"/>
          <w:szCs w:val="21"/>
          <w:highlight w:val="none"/>
        </w:rPr>
        <w:t>依据磋商文件的规定，由磋商小组</w:t>
      </w:r>
      <w:r>
        <w:rPr>
          <w:rFonts w:hint="eastAsia" w:ascii="宋体" w:hAnsi="宋体" w:cs="宋体"/>
          <w:szCs w:val="21"/>
          <w:highlight w:val="none"/>
          <w:lang w:val="zh-CN"/>
        </w:rPr>
        <w:t>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p>
    <w:p w14:paraId="671AD342">
      <w:pPr>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第三阶段：</w:t>
      </w:r>
      <w:r>
        <w:rPr>
          <w:rFonts w:hint="eastAsia" w:ascii="宋体" w:hAnsi="宋体" w:cs="宋体"/>
          <w:szCs w:val="21"/>
          <w:highlight w:val="none"/>
        </w:rPr>
        <w:t>磋商小组与通过符合性审查的供应商单一分别进行磋商。单一分别磋商结束后，系统进入商务技术响应文件评审。</w:t>
      </w:r>
    </w:p>
    <w:p w14:paraId="0B2770CF">
      <w:pPr>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w:t>
      </w:r>
      <w:r>
        <w:rPr>
          <w:rFonts w:hint="eastAsia" w:ascii="宋体" w:hAnsi="宋体" w:cs="宋体"/>
          <w:szCs w:val="21"/>
          <w:highlight w:val="none"/>
        </w:rPr>
        <w:t>四</w:t>
      </w:r>
      <w:r>
        <w:rPr>
          <w:rFonts w:hint="eastAsia" w:ascii="宋体" w:hAnsi="宋体" w:cs="宋体"/>
          <w:szCs w:val="21"/>
          <w:highlight w:val="none"/>
          <w:lang w:val="zh-CN"/>
        </w:rPr>
        <w:t>阶段：</w:t>
      </w:r>
      <w:r>
        <w:rPr>
          <w:rFonts w:hint="eastAsia" w:ascii="宋体" w:hAnsi="宋体" w:cs="宋体"/>
          <w:szCs w:val="21"/>
          <w:highlight w:val="none"/>
        </w:rPr>
        <w:t>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w:t>
      </w:r>
    </w:p>
    <w:p w14:paraId="031F62E9">
      <w:pPr>
        <w:spacing w:line="360" w:lineRule="auto"/>
        <w:ind w:firstLine="482"/>
        <w:rPr>
          <w:rFonts w:hint="eastAsia" w:ascii="宋体" w:hAnsi="宋体" w:cs="宋体"/>
          <w:b/>
          <w:szCs w:val="21"/>
          <w:highlight w:val="none"/>
        </w:rPr>
      </w:pPr>
      <w:r>
        <w:rPr>
          <w:rFonts w:hint="eastAsia" w:ascii="宋体" w:hAnsi="宋体" w:cs="宋体"/>
          <w:b/>
          <w:szCs w:val="21"/>
          <w:highlight w:val="none"/>
        </w:rPr>
        <w:t>四、磋商程序</w:t>
      </w:r>
    </w:p>
    <w:p w14:paraId="6622307A">
      <w:pPr>
        <w:spacing w:line="360" w:lineRule="auto"/>
        <w:ind w:firstLine="480"/>
        <w:rPr>
          <w:rFonts w:hint="eastAsia" w:ascii="宋体" w:hAnsi="宋体" w:cs="宋体"/>
          <w:szCs w:val="21"/>
          <w:highlight w:val="none"/>
        </w:rPr>
      </w:pPr>
      <w:r>
        <w:rPr>
          <w:rFonts w:hint="eastAsia" w:ascii="宋体" w:hAnsi="宋体" w:cs="宋体"/>
          <w:szCs w:val="21"/>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8AA9C20">
      <w:pPr>
        <w:spacing w:line="360" w:lineRule="auto"/>
        <w:ind w:firstLine="480"/>
        <w:rPr>
          <w:rFonts w:hint="eastAsia" w:ascii="宋体" w:hAnsi="宋体" w:cs="宋体"/>
          <w:szCs w:val="21"/>
          <w:highlight w:val="none"/>
        </w:rPr>
      </w:pPr>
      <w:r>
        <w:rPr>
          <w:rFonts w:hint="eastAsia" w:ascii="宋体" w:hAnsi="宋体" w:cs="宋体"/>
          <w:szCs w:val="21"/>
          <w:highlight w:val="none"/>
        </w:rPr>
        <w:t>在磋商过程中，磋商小组可能根据磋商文件和磋商情况实质性变动的内容有：</w:t>
      </w:r>
      <w:r>
        <w:rPr>
          <w:rFonts w:hint="eastAsia" w:ascii="宋体" w:hAnsi="宋体" w:cs="宋体"/>
          <w:b/>
          <w:bCs/>
          <w:szCs w:val="21"/>
          <w:highlight w:val="none"/>
        </w:rPr>
        <w:t>采购需求中的技术、服务要求以及合同草案条款</w:t>
      </w:r>
      <w:r>
        <w:rPr>
          <w:rFonts w:hint="eastAsia" w:ascii="宋体" w:hAnsi="宋体" w:cs="宋体"/>
          <w:szCs w:val="21"/>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434665E">
      <w:pPr>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9480FD1">
      <w:pPr>
        <w:spacing w:line="360" w:lineRule="auto"/>
        <w:ind w:firstLine="480"/>
        <w:rPr>
          <w:rFonts w:hint="eastAsia" w:ascii="宋体" w:hAnsi="宋体" w:cs="宋体"/>
          <w:szCs w:val="21"/>
          <w:highlight w:val="none"/>
        </w:rPr>
      </w:pPr>
      <w:r>
        <w:rPr>
          <w:rFonts w:hint="eastAsia" w:ascii="宋体" w:hAnsi="宋体" w:cs="宋体"/>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highlight w:val="none"/>
        </w:rPr>
        <w:t>15分钟内</w:t>
      </w:r>
      <w:r>
        <w:rPr>
          <w:rFonts w:hint="eastAsia" w:ascii="宋体" w:hAnsi="宋体" w:cs="宋体"/>
          <w:szCs w:val="21"/>
          <w:highlight w:val="none"/>
        </w:rPr>
        <w:t>提交最后报价。</w:t>
      </w:r>
    </w:p>
    <w:p w14:paraId="5C93C5CD">
      <w:pPr>
        <w:spacing w:line="360" w:lineRule="auto"/>
        <w:ind w:firstLine="480"/>
        <w:rPr>
          <w:rFonts w:hint="eastAsia" w:ascii="宋体" w:hAnsi="宋体" w:cs="宋体"/>
          <w:szCs w:val="21"/>
          <w:highlight w:val="none"/>
        </w:rPr>
      </w:pPr>
      <w:r>
        <w:rPr>
          <w:rFonts w:hint="eastAsia" w:ascii="宋体" w:hAnsi="宋体" w:cs="宋体"/>
          <w:szCs w:val="21"/>
          <w:highlight w:val="none"/>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2C18337F">
      <w:pPr>
        <w:spacing w:line="360" w:lineRule="auto"/>
        <w:ind w:firstLine="480"/>
        <w:rPr>
          <w:rFonts w:hint="eastAsia" w:ascii="宋体" w:hAnsi="宋体" w:cs="宋体"/>
          <w:szCs w:val="21"/>
          <w:highlight w:val="none"/>
        </w:rPr>
      </w:pPr>
      <w:r>
        <w:rPr>
          <w:rFonts w:hint="eastAsia" w:ascii="宋体" w:hAnsi="宋体" w:cs="宋体"/>
          <w:szCs w:val="21"/>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77C69CD">
      <w:pPr>
        <w:spacing w:line="360" w:lineRule="auto"/>
        <w:ind w:firstLine="480"/>
        <w:rPr>
          <w:rFonts w:hint="eastAsia" w:ascii="宋体" w:hAnsi="宋体" w:cs="宋体"/>
          <w:szCs w:val="21"/>
          <w:highlight w:val="none"/>
        </w:rPr>
      </w:pPr>
      <w:r>
        <w:rPr>
          <w:rFonts w:hint="eastAsia" w:ascii="宋体" w:hAnsi="宋体" w:cs="宋体"/>
          <w:szCs w:val="21"/>
          <w:highlight w:val="none"/>
        </w:rPr>
        <w:t>4.除非在磋商中磋商小组对采购需求中的技术、服务要求以及合同草案条款做了实质性变更，</w:t>
      </w:r>
      <w:r>
        <w:rPr>
          <w:rFonts w:hint="eastAsia" w:ascii="宋体" w:hAnsi="宋体" w:cs="宋体"/>
          <w:b/>
          <w:bCs/>
          <w:szCs w:val="21"/>
          <w:highlight w:val="none"/>
        </w:rPr>
        <w:t>否则采购单位不接受供应商高于自己前一轮的磋商报价</w:t>
      </w:r>
      <w:r>
        <w:rPr>
          <w:rFonts w:hint="eastAsia" w:ascii="宋体" w:hAnsi="宋体" w:cs="宋体"/>
          <w:szCs w:val="21"/>
          <w:highlight w:val="none"/>
        </w:rPr>
        <w:t>。</w:t>
      </w:r>
    </w:p>
    <w:p w14:paraId="3AF3AF12">
      <w:pPr>
        <w:spacing w:line="360" w:lineRule="auto"/>
        <w:ind w:firstLine="480"/>
        <w:rPr>
          <w:rFonts w:hint="eastAsia" w:ascii="宋体" w:hAnsi="宋体" w:cs="宋体"/>
          <w:szCs w:val="21"/>
          <w:highlight w:val="none"/>
        </w:rPr>
      </w:pPr>
      <w:r>
        <w:rPr>
          <w:rFonts w:hint="eastAsia" w:ascii="宋体" w:hAnsi="宋体" w:cs="宋体"/>
          <w:szCs w:val="21"/>
          <w:highlight w:val="none"/>
        </w:rPr>
        <w:t>5.在磋商中，磋商的任何一方不得透露与磋商有关的其他响应磋商的供应商的技术资料、价格及其他信息。</w:t>
      </w:r>
    </w:p>
    <w:p w14:paraId="319017F6">
      <w:pPr>
        <w:spacing w:line="360" w:lineRule="auto"/>
        <w:ind w:firstLine="420" w:firstLineChars="200"/>
        <w:rPr>
          <w:rFonts w:hint="eastAsia" w:ascii="宋体" w:hAnsi="宋体" w:cs="宋体"/>
          <w:b/>
          <w:bCs/>
          <w:szCs w:val="21"/>
          <w:highlight w:val="none"/>
        </w:rPr>
      </w:pPr>
      <w:r>
        <w:rPr>
          <w:rFonts w:hint="eastAsia" w:ascii="宋体" w:hAnsi="宋体" w:cs="宋体"/>
          <w:szCs w:val="21"/>
          <w:highlight w:val="none"/>
        </w:rPr>
        <w:t>6.根据《关于推动解决政府采购异常低价问题相关工作的通知》（苏财购〔2025〕62号）精神，</w:t>
      </w:r>
      <w:r>
        <w:rPr>
          <w:rFonts w:hint="eastAsia" w:ascii="宋体" w:hAnsi="宋体" w:cs="宋体"/>
          <w:b/>
          <w:bCs/>
          <w:szCs w:val="21"/>
          <w:highlight w:val="none"/>
        </w:rPr>
        <w:t>政府采购评审中出现下列情形之一的，评审委员会应当启动异常低价投标（响应）审查程序：</w:t>
      </w:r>
    </w:p>
    <w:p w14:paraId="7FF40AB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（1）投标（响应）报价低于采购项目预算 50%的，即投标（响应）报价＜采购项目预算 ×50%；</w:t>
      </w:r>
    </w:p>
    <w:p w14:paraId="504BD9D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（2）投标（响应）报价低于采购项目最高限价45%的，即投标（响应）报价＜采购项目最高限价 ×45%；</w:t>
      </w:r>
    </w:p>
    <w:p w14:paraId="08F19C9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（3）评审委员会认定的供应商报价过低、有可能影响产品质量或者不能诚信履约的其他情形。</w:t>
      </w:r>
    </w:p>
    <w:p w14:paraId="38106A1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8C331D9">
      <w:pPr>
        <w:spacing w:line="360" w:lineRule="auto"/>
        <w:ind w:firstLine="482"/>
        <w:rPr>
          <w:rFonts w:hint="eastAsia" w:ascii="宋体" w:hAnsi="宋体" w:cs="宋体"/>
          <w:b/>
          <w:szCs w:val="21"/>
          <w:highlight w:val="none"/>
        </w:rPr>
      </w:pPr>
      <w:r>
        <w:rPr>
          <w:rFonts w:hint="eastAsia" w:ascii="宋体" w:hAnsi="宋体" w:cs="宋体"/>
          <w:b/>
          <w:szCs w:val="21"/>
          <w:highlight w:val="none"/>
        </w:rPr>
        <w:t>五、磋商评定结果的方法</w:t>
      </w:r>
    </w:p>
    <w:p w14:paraId="235C39D6">
      <w:pPr>
        <w:spacing w:line="360" w:lineRule="auto"/>
        <w:ind w:firstLine="48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b/>
          <w:szCs w:val="21"/>
          <w:highlight w:val="none"/>
          <w:u w:val="single"/>
        </w:rPr>
        <w:t>经磋商确定最终采购需求和提交最后报价的供应商后，</w:t>
      </w:r>
      <w:r>
        <w:rPr>
          <w:rFonts w:hint="eastAsia" w:ascii="宋体" w:hAnsi="宋体" w:cs="宋体"/>
          <w:szCs w:val="21"/>
          <w:highlight w:val="none"/>
        </w:rPr>
        <w:t>由磋商小组采用综合评分法</w:t>
      </w:r>
      <w:r>
        <w:rPr>
          <w:rFonts w:hint="eastAsia" w:ascii="宋体" w:hAnsi="宋体" w:cs="宋体"/>
          <w:b/>
          <w:szCs w:val="21"/>
          <w:highlight w:val="none"/>
          <w:u w:val="single"/>
        </w:rPr>
        <w:t>对提交最后报价的供应商的响应文件和最后报价</w:t>
      </w:r>
      <w:r>
        <w:rPr>
          <w:rFonts w:hint="eastAsia" w:ascii="宋体" w:hAnsi="宋体" w:cs="宋体"/>
          <w:szCs w:val="21"/>
          <w:highlight w:val="none"/>
        </w:rPr>
        <w:t>进行综合评分。综合评分法，是指响应文件满足磋商文件全部实质性要求且按评审因素的量化指标评审得分最高的供应商为成交候选供应商的评审方法。</w:t>
      </w:r>
    </w:p>
    <w:p w14:paraId="24237EB7">
      <w:pPr>
        <w:spacing w:line="360" w:lineRule="auto"/>
        <w:ind w:firstLine="480"/>
        <w:rPr>
          <w:rFonts w:hint="eastAsia" w:ascii="宋体" w:hAnsi="宋体" w:cs="宋体"/>
          <w:szCs w:val="21"/>
          <w:highlight w:val="none"/>
        </w:rPr>
      </w:pPr>
      <w:r>
        <w:rPr>
          <w:rFonts w:hint="eastAsia" w:ascii="宋体" w:hAnsi="宋体" w:cs="宋体"/>
          <w:szCs w:val="21"/>
          <w:highlight w:val="none"/>
        </w:rPr>
        <w:t>2.评审时，磋商小组各成员应当独立对每个有效响应的文件进行评价、打分，然后汇总每个供应商每项评分因素的得分（计算结果均四舍五入保留两位小数）。</w:t>
      </w:r>
    </w:p>
    <w:p w14:paraId="00C10043">
      <w:pPr>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3.本次项目磋商的商务技术和报价评审总分值为100分。 </w:t>
      </w:r>
    </w:p>
    <w:p w14:paraId="0733AC49">
      <w:pPr>
        <w:spacing w:line="360" w:lineRule="auto"/>
        <w:ind w:firstLine="480"/>
        <w:rPr>
          <w:rFonts w:hint="eastAsia" w:ascii="宋体" w:hAnsi="宋体" w:cs="宋体"/>
          <w:szCs w:val="21"/>
          <w:highlight w:val="none"/>
        </w:rPr>
      </w:pPr>
      <w:r>
        <w:rPr>
          <w:rFonts w:hint="eastAsia" w:ascii="宋体" w:hAnsi="宋体" w:cs="宋体"/>
          <w:szCs w:val="21"/>
          <w:highlight w:val="none"/>
        </w:rPr>
        <w:t>4.商务技术分按算术平均值计算，分值四舍五入保留两位小数。</w:t>
      </w:r>
    </w:p>
    <w:p w14:paraId="64652ADC">
      <w:pPr>
        <w:spacing w:line="360" w:lineRule="auto"/>
        <w:ind w:firstLine="480"/>
        <w:rPr>
          <w:rFonts w:hint="eastAsia" w:ascii="宋体" w:hAnsi="宋体" w:cs="宋体"/>
          <w:szCs w:val="21"/>
          <w:highlight w:val="none"/>
        </w:rPr>
      </w:pPr>
      <w:r>
        <w:rPr>
          <w:rFonts w:hint="eastAsia" w:ascii="宋体" w:hAnsi="宋体" w:cs="宋体"/>
          <w:szCs w:val="21"/>
          <w:highlight w:val="none"/>
        </w:rPr>
        <w:t>5.报价分统一采用低价优先法计算直接取得，与商务技术分相加为供应商的综合得分（四舍五入保留两位小数）。</w:t>
      </w:r>
    </w:p>
    <w:p w14:paraId="182A2410">
      <w:pPr>
        <w:spacing w:line="360" w:lineRule="auto"/>
        <w:ind w:firstLine="480"/>
        <w:rPr>
          <w:rFonts w:hint="eastAsia" w:ascii="宋体" w:hAnsi="宋体" w:cs="宋体"/>
          <w:szCs w:val="21"/>
          <w:highlight w:val="none"/>
        </w:rPr>
      </w:pPr>
      <w:r>
        <w:rPr>
          <w:rFonts w:hint="eastAsia" w:ascii="宋体" w:hAnsi="宋体" w:cs="宋体"/>
          <w:szCs w:val="21"/>
          <w:highlight w:val="none"/>
        </w:rPr>
        <w:t>6.综合得分最高的供应商被推荐为成交候选人并出具评审磋商报告。</w:t>
      </w:r>
    </w:p>
    <w:p w14:paraId="23B6256C">
      <w:pPr>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7.确定成交候选人的特殊情况处理： </w:t>
      </w:r>
    </w:p>
    <w:p w14:paraId="1DC66F23">
      <w:pPr>
        <w:spacing w:line="360" w:lineRule="auto"/>
        <w:ind w:firstLine="480"/>
        <w:rPr>
          <w:rFonts w:hint="eastAsia" w:ascii="宋体" w:hAnsi="宋体" w:cs="宋体"/>
          <w:szCs w:val="21"/>
          <w:highlight w:val="none"/>
        </w:rPr>
      </w:pPr>
      <w:r>
        <w:rPr>
          <w:rFonts w:hint="eastAsia" w:ascii="宋体" w:hAnsi="宋体" w:cs="宋体"/>
          <w:szCs w:val="21"/>
          <w:highlight w:val="none"/>
        </w:rPr>
        <w:t>（1）若总分相同，则按最终报价响应得分高者优先中标。</w:t>
      </w:r>
    </w:p>
    <w:p w14:paraId="60A24F74">
      <w:pPr>
        <w:spacing w:line="360" w:lineRule="auto"/>
        <w:ind w:firstLine="480"/>
        <w:rPr>
          <w:rFonts w:hint="eastAsia" w:ascii="宋体" w:hAnsi="宋体" w:cs="宋体"/>
          <w:szCs w:val="21"/>
          <w:highlight w:val="none"/>
        </w:rPr>
      </w:pPr>
      <w:r>
        <w:rPr>
          <w:rFonts w:hint="eastAsia" w:ascii="宋体" w:hAnsi="宋体" w:cs="宋体"/>
          <w:szCs w:val="21"/>
          <w:highlight w:val="none"/>
        </w:rPr>
        <w:t>（2）若总分且最终报价响应得分相同，则采取现场抽签的方式确定（供应商的抽签顺序分别为各供应商递交响应文件签到顺序号）。</w:t>
      </w:r>
    </w:p>
    <w:p w14:paraId="4DCF08C1">
      <w:pPr>
        <w:spacing w:line="360" w:lineRule="auto"/>
        <w:ind w:firstLine="480"/>
        <w:rPr>
          <w:rFonts w:hint="eastAsia" w:ascii="宋体" w:hAnsi="宋体" w:cs="宋体"/>
          <w:szCs w:val="21"/>
          <w:highlight w:val="none"/>
        </w:rPr>
      </w:pPr>
      <w:r>
        <w:rPr>
          <w:rFonts w:hint="eastAsia" w:ascii="宋体" w:hAnsi="宋体" w:cs="宋体"/>
          <w:szCs w:val="21"/>
          <w:highlight w:val="none"/>
        </w:rPr>
        <w:t>8.磋商评审时，评委对评审的细则若有争议，由磋商小组集体讨论确定，并对未尽情况有最终解释权。</w:t>
      </w:r>
    </w:p>
    <w:tbl>
      <w:tblPr>
        <w:tblStyle w:val="20"/>
        <w:tblW w:w="50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620"/>
        <w:gridCol w:w="6784"/>
        <w:gridCol w:w="834"/>
      </w:tblGrid>
      <w:tr w14:paraId="588BA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877" w:type="pct"/>
            <w:noWrap w:val="0"/>
            <w:vAlign w:val="center"/>
          </w:tcPr>
          <w:p w14:paraId="175DE2D8">
            <w:pPr>
              <w:pStyle w:val="49"/>
              <w:pageBreakBefore w:val="0"/>
              <w:kinsoku/>
              <w:topLinePunct w:val="0"/>
              <w:bidi w:val="0"/>
              <w:spacing w:before="1" w:line="360" w:lineRule="auto"/>
              <w:ind w:left="232"/>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评</w:t>
            </w:r>
            <w:r>
              <w:rPr>
                <w:rFonts w:hint="eastAsia" w:ascii="宋体" w:hAnsi="宋体" w:eastAsia="宋体" w:cs="宋体"/>
                <w:b/>
                <w:bCs/>
                <w:sz w:val="21"/>
                <w:szCs w:val="21"/>
                <w:highlight w:val="none"/>
                <w:lang w:val="en-US" w:eastAsia="zh-CN"/>
              </w:rPr>
              <w:t>审因素</w:t>
            </w:r>
          </w:p>
        </w:tc>
        <w:tc>
          <w:tcPr>
            <w:tcW w:w="3672" w:type="pct"/>
            <w:noWrap w:val="0"/>
            <w:vAlign w:val="center"/>
          </w:tcPr>
          <w:p w14:paraId="171382DF">
            <w:pPr>
              <w:pStyle w:val="49"/>
              <w:pageBreakBefore w:val="0"/>
              <w:kinsoku/>
              <w:topLinePunct w:val="0"/>
              <w:bidi w:val="0"/>
              <w:spacing w:before="1" w:line="360" w:lineRule="auto"/>
              <w:ind w:right="2808"/>
              <w:jc w:val="center"/>
              <w:rPr>
                <w:rFonts w:hint="eastAsia" w:ascii="宋体" w:hAnsi="宋体" w:eastAsia="宋体" w:cs="宋体"/>
                <w:b/>
                <w:bCs/>
                <w:sz w:val="21"/>
                <w:szCs w:val="21"/>
                <w:highlight w:val="none"/>
              </w:rPr>
            </w:pPr>
            <w:r>
              <w:rPr>
                <w:rFonts w:hint="eastAsia" w:cs="宋体"/>
                <w:b/>
                <w:bCs/>
                <w:sz w:val="21"/>
                <w:szCs w:val="21"/>
                <w:highlight w:val="none"/>
                <w:lang w:val="en-US" w:eastAsia="zh-CN"/>
              </w:rPr>
              <w:t xml:space="preserve">                </w:t>
            </w:r>
            <w:r>
              <w:rPr>
                <w:rFonts w:hint="eastAsia" w:ascii="宋体" w:hAnsi="宋体" w:eastAsia="宋体" w:cs="宋体"/>
                <w:b/>
                <w:bCs/>
                <w:sz w:val="21"/>
                <w:szCs w:val="21"/>
                <w:highlight w:val="none"/>
              </w:rPr>
              <w:t>评分标准</w:t>
            </w:r>
          </w:p>
        </w:tc>
        <w:tc>
          <w:tcPr>
            <w:tcW w:w="450" w:type="pct"/>
            <w:noWrap w:val="0"/>
            <w:vAlign w:val="center"/>
          </w:tcPr>
          <w:p w14:paraId="030FEDF5">
            <w:pPr>
              <w:pStyle w:val="49"/>
              <w:pageBreakBefore w:val="0"/>
              <w:kinsoku/>
              <w:topLinePunct w:val="0"/>
              <w:bidi w:val="0"/>
              <w:spacing w:before="1" w:line="360" w:lineRule="auto"/>
              <w:ind w:left="190" w:right="188"/>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得分</w:t>
            </w:r>
          </w:p>
        </w:tc>
      </w:tr>
      <w:tr w14:paraId="59017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5000" w:type="pct"/>
            <w:gridSpan w:val="3"/>
            <w:noWrap w:val="0"/>
            <w:vAlign w:val="center"/>
          </w:tcPr>
          <w:p w14:paraId="71678052">
            <w:pPr>
              <w:pStyle w:val="49"/>
              <w:pageBreakBefore w:val="0"/>
              <w:kinsoku/>
              <w:topLinePunct w:val="0"/>
              <w:bidi w:val="0"/>
              <w:spacing w:before="1" w:line="360" w:lineRule="auto"/>
              <w:ind w:left="190" w:right="188"/>
              <w:jc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一、商务部分（40分）</w:t>
            </w:r>
          </w:p>
        </w:tc>
      </w:tr>
      <w:tr w14:paraId="226EF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3" w:hRule="atLeast"/>
        </w:trPr>
        <w:tc>
          <w:tcPr>
            <w:tcW w:w="877" w:type="pct"/>
            <w:noWrap w:val="0"/>
            <w:vAlign w:val="center"/>
          </w:tcPr>
          <w:p w14:paraId="0BEA51D4">
            <w:pPr>
              <w:pStyle w:val="49"/>
              <w:pageBreakBefore w:val="0"/>
              <w:kinsoku/>
              <w:topLinePunct w:val="0"/>
              <w:bidi w:val="0"/>
              <w:spacing w:line="360" w:lineRule="auto"/>
              <w:ind w:left="338" w:leftChars="0" w:right="329" w:righ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报价评分</w:t>
            </w:r>
          </w:p>
        </w:tc>
        <w:tc>
          <w:tcPr>
            <w:tcW w:w="3672" w:type="pct"/>
            <w:noWrap w:val="0"/>
            <w:vAlign w:val="top"/>
          </w:tcPr>
          <w:p w14:paraId="626DBB8F">
            <w:pPr>
              <w:pStyle w:val="49"/>
              <w:pageBreakBefore w:val="0"/>
              <w:kinsoku/>
              <w:topLinePunct w:val="0"/>
              <w:bidi w:val="0"/>
              <w:spacing w:before="1" w:line="360" w:lineRule="auto"/>
              <w:ind w:left="107" w:leftChars="0" w:right="92" w:rightChars="0" w:firstLine="420" w:firstLineChars="200"/>
              <w:jc w:val="both"/>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zh-CN" w:eastAsia="zh-CN" w:bidi="zh-CN"/>
              </w:rPr>
              <w:t>以满足采购文件要求且最终磋商报价最低的供应商报价为评标基准价，其价格分为满分，其他</w:t>
            </w:r>
            <w:r>
              <w:rPr>
                <w:rFonts w:hint="eastAsia" w:ascii="宋体" w:hAnsi="宋体" w:eastAsia="宋体" w:cs="宋体"/>
                <w:kern w:val="2"/>
                <w:sz w:val="21"/>
                <w:szCs w:val="21"/>
                <w:highlight w:val="none"/>
                <w:lang w:val="en-US" w:eastAsia="zh-CN" w:bidi="zh-CN"/>
              </w:rPr>
              <w:t>供应商</w:t>
            </w:r>
            <w:r>
              <w:rPr>
                <w:rFonts w:hint="eastAsia" w:ascii="宋体" w:hAnsi="宋体" w:eastAsia="宋体" w:cs="宋体"/>
                <w:kern w:val="2"/>
                <w:sz w:val="21"/>
                <w:szCs w:val="21"/>
                <w:highlight w:val="none"/>
                <w:lang w:val="zh-CN" w:eastAsia="zh-CN" w:bidi="zh-CN"/>
              </w:rPr>
              <w:t>的价格分统一按照以下公式计算：报价得分=（评标基准价/该供应商的最终磋商报价）×</w:t>
            </w:r>
            <w:r>
              <w:rPr>
                <w:rFonts w:hint="eastAsia" w:cs="宋体"/>
                <w:kern w:val="2"/>
                <w:sz w:val="21"/>
                <w:szCs w:val="21"/>
                <w:highlight w:val="none"/>
                <w:lang w:val="en-US" w:eastAsia="zh-CN" w:bidi="zh-CN"/>
              </w:rPr>
              <w:t>15</w:t>
            </w:r>
            <w:r>
              <w:rPr>
                <w:rFonts w:hint="eastAsia" w:ascii="宋体" w:hAnsi="宋体" w:eastAsia="宋体" w:cs="宋体"/>
                <w:kern w:val="2"/>
                <w:sz w:val="21"/>
                <w:szCs w:val="21"/>
                <w:highlight w:val="none"/>
                <w:lang w:val="zh-CN" w:eastAsia="zh-CN" w:bidi="zh-CN"/>
              </w:rPr>
              <w:t>，</w:t>
            </w:r>
            <w:r>
              <w:rPr>
                <w:rFonts w:hint="eastAsia" w:ascii="宋体" w:hAnsi="宋体" w:eastAsia="宋体" w:cs="宋体"/>
                <w:kern w:val="2"/>
                <w:sz w:val="21"/>
                <w:szCs w:val="21"/>
                <w:highlight w:val="none"/>
                <w:lang w:val="en-US" w:eastAsia="zh-CN" w:bidi="zh-CN"/>
              </w:rPr>
              <w:t>分值保留小数点后2位。</w:t>
            </w:r>
          </w:p>
        </w:tc>
        <w:tc>
          <w:tcPr>
            <w:tcW w:w="450" w:type="pct"/>
            <w:noWrap w:val="0"/>
            <w:vAlign w:val="center"/>
          </w:tcPr>
          <w:p w14:paraId="2F91FCAD">
            <w:pPr>
              <w:pStyle w:val="49"/>
              <w:pageBreakBefore w:val="0"/>
              <w:kinsoku/>
              <w:topLinePunct w:val="0"/>
              <w:bidi w:val="0"/>
              <w:spacing w:line="360" w:lineRule="auto"/>
              <w:ind w:left="190" w:leftChars="0" w:right="188" w:rightChars="0"/>
              <w:jc w:val="center"/>
              <w:rPr>
                <w:rFonts w:hint="default" w:ascii="宋体" w:hAnsi="宋体" w:eastAsia="宋体" w:cs="宋体"/>
                <w:sz w:val="21"/>
                <w:szCs w:val="21"/>
                <w:highlight w:val="none"/>
                <w:lang w:val="en-US"/>
              </w:rPr>
            </w:pPr>
            <w:r>
              <w:rPr>
                <w:rFonts w:hint="eastAsia" w:cs="宋体"/>
                <w:b/>
                <w:sz w:val="21"/>
                <w:szCs w:val="21"/>
                <w:highlight w:val="none"/>
                <w:lang w:val="en-US" w:eastAsia="zh-CN"/>
              </w:rPr>
              <w:t>15</w:t>
            </w:r>
          </w:p>
        </w:tc>
      </w:tr>
      <w:tr w14:paraId="2EE9C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877" w:type="pct"/>
            <w:noWrap w:val="0"/>
            <w:vAlign w:val="center"/>
          </w:tcPr>
          <w:p w14:paraId="0302D54E">
            <w:pPr>
              <w:pStyle w:val="49"/>
              <w:pageBreakBefore w:val="0"/>
              <w:kinsoku/>
              <w:topLinePunct w:val="0"/>
              <w:bidi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业绩</w:t>
            </w:r>
          </w:p>
        </w:tc>
        <w:tc>
          <w:tcPr>
            <w:tcW w:w="3672" w:type="pct"/>
            <w:noWrap w:val="0"/>
            <w:vAlign w:val="top"/>
          </w:tcPr>
          <w:p w14:paraId="3454B663">
            <w:pPr>
              <w:adjustRightInd w:val="0"/>
              <w:snapToGrid w:val="0"/>
              <w:spacing w:line="360" w:lineRule="auto"/>
              <w:ind w:firstLine="420" w:firstLineChars="200"/>
              <w:rPr>
                <w:rFonts w:hint="eastAsia" w:ascii="宋体" w:hAnsi="宋体" w:eastAsia="宋体" w:cs="宋体"/>
                <w:kern w:val="2"/>
                <w:sz w:val="21"/>
                <w:szCs w:val="21"/>
                <w:highlight w:val="none"/>
                <w:lang w:val="zh-CN" w:eastAsia="zh-CN" w:bidi="zh-CN"/>
              </w:rPr>
            </w:pPr>
            <w:r>
              <w:rPr>
                <w:rFonts w:hint="eastAsia" w:ascii="宋体" w:hAnsi="宋体" w:eastAsia="宋体" w:cs="宋体"/>
                <w:kern w:val="2"/>
                <w:sz w:val="21"/>
                <w:szCs w:val="21"/>
                <w:highlight w:val="none"/>
                <w:lang w:val="zh-CN" w:eastAsia="zh-CN" w:bidi="zh-CN"/>
              </w:rPr>
              <w:t>供应商</w:t>
            </w:r>
            <w:r>
              <w:rPr>
                <w:rFonts w:hint="eastAsia" w:ascii="宋体" w:hAnsi="宋体" w:eastAsia="宋体" w:cs="宋体"/>
                <w:kern w:val="2"/>
                <w:sz w:val="21"/>
                <w:szCs w:val="21"/>
                <w:highlight w:val="none"/>
                <w:lang w:val="en-US" w:eastAsia="zh-CN" w:bidi="zh-CN"/>
              </w:rPr>
              <w:t>承接过</w:t>
            </w:r>
            <w:r>
              <w:rPr>
                <w:rFonts w:hint="eastAsia" w:ascii="宋体" w:hAnsi="宋体" w:eastAsia="宋体" w:cs="宋体"/>
                <w:kern w:val="2"/>
                <w:sz w:val="21"/>
                <w:szCs w:val="21"/>
                <w:highlight w:val="none"/>
                <w:lang w:val="zh-CN" w:eastAsia="zh-CN" w:bidi="zh-CN"/>
              </w:rPr>
              <w:t>202</w:t>
            </w:r>
            <w:r>
              <w:rPr>
                <w:rFonts w:hint="eastAsia" w:ascii="宋体" w:hAnsi="宋体" w:eastAsia="宋体" w:cs="宋体"/>
                <w:kern w:val="2"/>
                <w:sz w:val="21"/>
                <w:szCs w:val="21"/>
                <w:highlight w:val="none"/>
                <w:lang w:val="en-US" w:eastAsia="zh-CN" w:bidi="zh-CN"/>
              </w:rPr>
              <w:t>3</w:t>
            </w:r>
            <w:r>
              <w:rPr>
                <w:rFonts w:hint="eastAsia" w:ascii="宋体" w:hAnsi="宋体" w:eastAsia="宋体" w:cs="宋体"/>
                <w:kern w:val="2"/>
                <w:sz w:val="21"/>
                <w:szCs w:val="21"/>
                <w:highlight w:val="none"/>
                <w:lang w:val="zh-CN" w:eastAsia="zh-CN" w:bidi="zh-CN"/>
              </w:rPr>
              <w:t>年1月1日</w:t>
            </w:r>
            <w:r>
              <w:rPr>
                <w:rFonts w:hint="eastAsia" w:ascii="宋体" w:hAnsi="宋体" w:eastAsia="宋体" w:cs="宋体"/>
                <w:kern w:val="2"/>
                <w:sz w:val="21"/>
                <w:szCs w:val="21"/>
                <w:highlight w:val="none"/>
                <w:lang w:val="en-US" w:eastAsia="zh-CN" w:bidi="zh-CN"/>
              </w:rPr>
              <w:t>（以合同签订时间为准）</w:t>
            </w:r>
            <w:r>
              <w:rPr>
                <w:rFonts w:hint="eastAsia" w:ascii="宋体" w:hAnsi="宋体" w:eastAsia="宋体" w:cs="宋体"/>
                <w:kern w:val="2"/>
                <w:sz w:val="21"/>
                <w:szCs w:val="21"/>
                <w:highlight w:val="none"/>
                <w:lang w:val="zh-CN" w:eastAsia="zh-CN" w:bidi="zh-CN"/>
              </w:rPr>
              <w:t>至投标截止日</w:t>
            </w:r>
            <w:r>
              <w:rPr>
                <w:rFonts w:hint="eastAsia" w:ascii="宋体" w:hAnsi="宋体" w:eastAsia="宋体" w:cs="宋体"/>
                <w:kern w:val="2"/>
                <w:sz w:val="21"/>
                <w:szCs w:val="21"/>
                <w:highlight w:val="none"/>
                <w:lang w:val="en-US" w:eastAsia="zh-CN" w:bidi="zh-CN"/>
              </w:rPr>
              <w:t>前同类型</w:t>
            </w:r>
            <w:r>
              <w:rPr>
                <w:rFonts w:hint="eastAsia" w:ascii="宋体" w:hAnsi="宋体" w:eastAsia="宋体" w:cs="宋体"/>
                <w:kern w:val="2"/>
                <w:sz w:val="21"/>
                <w:szCs w:val="21"/>
                <w:highlight w:val="none"/>
                <w:lang w:val="zh-CN" w:eastAsia="zh-CN" w:bidi="zh-CN"/>
              </w:rPr>
              <w:t>项目业绩（生命、健康、医药类大会策划执行服务）的，每承接过一次得</w:t>
            </w:r>
            <w:r>
              <w:rPr>
                <w:rFonts w:hint="eastAsia" w:ascii="宋体" w:hAnsi="宋体" w:eastAsia="宋体" w:cs="宋体"/>
                <w:kern w:val="2"/>
                <w:sz w:val="21"/>
                <w:szCs w:val="21"/>
                <w:highlight w:val="none"/>
                <w:lang w:val="en-US" w:eastAsia="zh-CN" w:bidi="zh-CN"/>
              </w:rPr>
              <w:t>2</w:t>
            </w:r>
            <w:r>
              <w:rPr>
                <w:rFonts w:hint="eastAsia" w:ascii="宋体" w:hAnsi="宋体" w:eastAsia="宋体" w:cs="宋体"/>
                <w:kern w:val="2"/>
                <w:sz w:val="21"/>
                <w:szCs w:val="21"/>
                <w:highlight w:val="none"/>
                <w:lang w:val="zh-CN" w:eastAsia="zh-CN" w:bidi="zh-CN"/>
              </w:rPr>
              <w:t>分，最高得</w:t>
            </w:r>
            <w:r>
              <w:rPr>
                <w:rFonts w:hint="eastAsia" w:ascii="宋体" w:hAnsi="宋体" w:eastAsia="宋体" w:cs="宋体"/>
                <w:kern w:val="2"/>
                <w:sz w:val="21"/>
                <w:szCs w:val="21"/>
                <w:highlight w:val="none"/>
                <w:lang w:val="en-US" w:eastAsia="zh-CN" w:bidi="zh-CN"/>
              </w:rPr>
              <w:t>10</w:t>
            </w:r>
            <w:r>
              <w:rPr>
                <w:rFonts w:hint="eastAsia" w:ascii="宋体" w:hAnsi="宋体" w:eastAsia="宋体" w:cs="宋体"/>
                <w:kern w:val="2"/>
                <w:sz w:val="21"/>
                <w:szCs w:val="21"/>
                <w:highlight w:val="none"/>
                <w:lang w:val="zh-CN" w:eastAsia="zh-CN" w:bidi="zh-CN"/>
              </w:rPr>
              <w:t>分。</w:t>
            </w:r>
          </w:p>
          <w:p w14:paraId="0DEC3243">
            <w:pPr>
              <w:adjustRightInd w:val="0"/>
              <w:snapToGrid w:val="0"/>
              <w:spacing w:line="360" w:lineRule="auto"/>
              <w:ind w:firstLine="422" w:firstLineChars="200"/>
              <w:rPr>
                <w:rFonts w:hint="eastAsia" w:ascii="宋体" w:hAnsi="宋体" w:eastAsia="宋体" w:cs="宋体"/>
                <w:kern w:val="2"/>
                <w:sz w:val="21"/>
                <w:szCs w:val="21"/>
                <w:highlight w:val="none"/>
                <w:lang w:val="en-US" w:eastAsia="zh-CN" w:bidi="zh-CN"/>
              </w:rPr>
            </w:pPr>
            <w:r>
              <w:rPr>
                <w:rFonts w:hint="eastAsia" w:ascii="宋体" w:hAnsi="宋体" w:eastAsia="宋体" w:cs="宋体"/>
                <w:b/>
                <w:bCs/>
                <w:kern w:val="2"/>
                <w:sz w:val="21"/>
                <w:szCs w:val="21"/>
                <w:highlight w:val="none"/>
                <w:lang w:val="en-US" w:eastAsia="zh-CN" w:bidi="zh-CN"/>
              </w:rPr>
              <w:t>注：响应文件中上传相关合同及中标通知书扫描件并加盖公章。</w:t>
            </w:r>
          </w:p>
        </w:tc>
        <w:tc>
          <w:tcPr>
            <w:tcW w:w="450" w:type="pct"/>
            <w:noWrap w:val="0"/>
            <w:vAlign w:val="center"/>
          </w:tcPr>
          <w:p w14:paraId="3539CD52">
            <w:pPr>
              <w:adjustRightInd w:val="0"/>
              <w:snapToGrid w:val="0"/>
              <w:spacing w:line="360" w:lineRule="auto"/>
              <w:jc w:val="center"/>
              <w:rPr>
                <w:rFonts w:hint="eastAsia" w:ascii="宋体" w:hAnsi="宋体" w:eastAsia="宋体" w:cs="宋体"/>
                <w:kern w:val="2"/>
                <w:sz w:val="21"/>
                <w:szCs w:val="21"/>
                <w:highlight w:val="none"/>
                <w:lang w:val="en-US" w:eastAsia="zh-CN" w:bidi="zh-CN"/>
              </w:rPr>
            </w:pPr>
            <w:r>
              <w:rPr>
                <w:rFonts w:hint="eastAsia" w:ascii="宋体" w:hAnsi="宋体" w:eastAsia="宋体" w:cs="宋体"/>
                <w:b/>
                <w:bCs/>
                <w:kern w:val="2"/>
                <w:sz w:val="21"/>
                <w:szCs w:val="21"/>
                <w:highlight w:val="none"/>
                <w:lang w:val="en-US" w:eastAsia="zh-CN" w:bidi="zh-CN"/>
              </w:rPr>
              <w:t>10</w:t>
            </w:r>
          </w:p>
        </w:tc>
      </w:tr>
      <w:tr w14:paraId="5498D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877" w:type="pct"/>
            <w:noWrap w:val="0"/>
            <w:vAlign w:val="center"/>
          </w:tcPr>
          <w:p w14:paraId="612EBE29">
            <w:pPr>
              <w:pStyle w:val="49"/>
              <w:pageBreakBefore w:val="0"/>
              <w:kinsoku/>
              <w:topLinePunct w:val="0"/>
              <w:bidi w:val="0"/>
              <w:spacing w:line="360" w:lineRule="auto"/>
              <w:ind w:left="232" w:leftChars="0" w:right="223" w:rightChars="0"/>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企业实力</w:t>
            </w:r>
          </w:p>
        </w:tc>
        <w:tc>
          <w:tcPr>
            <w:tcW w:w="3672" w:type="pct"/>
            <w:noWrap w:val="0"/>
            <w:vAlign w:val="top"/>
          </w:tcPr>
          <w:p w14:paraId="05C51446">
            <w:pPr>
              <w:adjustRightInd w:val="0"/>
              <w:snapToGrid w:val="0"/>
              <w:spacing w:line="360" w:lineRule="auto"/>
              <w:ind w:firstLine="420" w:firstLineChars="200"/>
              <w:rPr>
                <w:rFonts w:hint="default"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1.项目负责人具有博士学位的得4分</w:t>
            </w:r>
            <w:r>
              <w:rPr>
                <w:rFonts w:hint="eastAsia" w:ascii="宋体" w:hAnsi="宋体" w:cs="宋体"/>
                <w:kern w:val="2"/>
                <w:sz w:val="21"/>
                <w:szCs w:val="21"/>
                <w:highlight w:val="none"/>
                <w:lang w:val="en-US" w:eastAsia="zh-CN" w:bidi="zh-CN"/>
              </w:rPr>
              <w:t>；</w:t>
            </w:r>
            <w:r>
              <w:rPr>
                <w:rFonts w:hint="eastAsia" w:ascii="宋体" w:hAnsi="宋体" w:eastAsia="宋体" w:cs="宋体"/>
                <w:kern w:val="2"/>
                <w:sz w:val="21"/>
                <w:szCs w:val="21"/>
                <w:highlight w:val="none"/>
                <w:lang w:val="en-US" w:eastAsia="zh-CN" w:bidi="zh-CN"/>
              </w:rPr>
              <w:t>具有硕士学位的得2分，本项最高得4分。</w:t>
            </w:r>
          </w:p>
          <w:p w14:paraId="245FA531">
            <w:pPr>
              <w:adjustRightInd w:val="0"/>
              <w:snapToGrid w:val="0"/>
              <w:spacing w:line="360" w:lineRule="auto"/>
              <w:ind w:firstLine="420" w:firstLineChars="200"/>
              <w:rPr>
                <w:rFonts w:hint="eastAsia" w:ascii="宋体" w:hAnsi="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2.</w:t>
            </w:r>
            <w:r>
              <w:rPr>
                <w:rFonts w:hint="eastAsia" w:ascii="宋体" w:hAnsi="宋体" w:cs="宋体"/>
                <w:kern w:val="2"/>
                <w:sz w:val="21"/>
                <w:szCs w:val="21"/>
                <w:highlight w:val="none"/>
                <w:lang w:val="en-US" w:eastAsia="zh-CN" w:bidi="zh-CN"/>
              </w:rPr>
              <w:t>项目负责人在生物医药领域拥有专业技术能力且拥有10年及以上从业经验的得3分；项目负责人在生物医药领域拥有专业技术能力且拥有10年以下从业经验的得2分，本项最高得3分。</w:t>
            </w:r>
          </w:p>
          <w:p w14:paraId="793E6A56">
            <w:pPr>
              <w:adjustRightInd w:val="0"/>
              <w:snapToGrid w:val="0"/>
              <w:spacing w:line="360" w:lineRule="auto"/>
              <w:ind w:firstLine="420" w:firstLineChars="200"/>
              <w:rPr>
                <w:rFonts w:hint="default" w:ascii="宋体" w:hAnsi="宋体" w:cs="宋体"/>
                <w:kern w:val="2"/>
                <w:sz w:val="21"/>
                <w:szCs w:val="21"/>
                <w:highlight w:val="none"/>
                <w:lang w:val="en-US" w:eastAsia="zh-CN" w:bidi="zh-CN"/>
              </w:rPr>
            </w:pPr>
            <w:r>
              <w:rPr>
                <w:rFonts w:hint="eastAsia" w:ascii="宋体" w:hAnsi="宋体" w:cs="宋体"/>
                <w:kern w:val="2"/>
                <w:sz w:val="21"/>
                <w:szCs w:val="21"/>
                <w:highlight w:val="none"/>
                <w:lang w:val="en-US" w:eastAsia="zh-CN" w:bidi="zh-CN"/>
              </w:rPr>
              <w:t>3.供应商拥有自运营的行业专业媒体宣发媒介的得2分，本项最高得2分。</w:t>
            </w:r>
          </w:p>
          <w:p w14:paraId="4001E908">
            <w:pPr>
              <w:adjustRightInd w:val="0"/>
              <w:snapToGrid w:val="0"/>
              <w:spacing w:line="360" w:lineRule="auto"/>
              <w:ind w:firstLine="422" w:firstLineChars="200"/>
              <w:rPr>
                <w:rFonts w:hint="eastAsia" w:ascii="宋体" w:hAnsi="宋体" w:eastAsia="宋体" w:cs="宋体"/>
                <w:sz w:val="21"/>
                <w:szCs w:val="21"/>
                <w:highlight w:val="none"/>
                <w:lang w:val="en-US" w:eastAsia="zh-CN"/>
              </w:rPr>
            </w:pPr>
            <w:r>
              <w:rPr>
                <w:rFonts w:hint="eastAsia" w:ascii="宋体" w:hAnsi="宋体" w:eastAsia="宋体" w:cs="宋体"/>
                <w:b/>
                <w:bCs/>
                <w:kern w:val="2"/>
                <w:sz w:val="21"/>
                <w:szCs w:val="21"/>
                <w:highlight w:val="none"/>
                <w:lang w:val="en-US" w:eastAsia="zh-CN" w:bidi="zh-CN"/>
              </w:rPr>
              <w:t>注：投标时上传</w:t>
            </w:r>
            <w:r>
              <w:rPr>
                <w:rFonts w:hint="eastAsia" w:ascii="宋体" w:hAnsi="宋体" w:cs="宋体"/>
                <w:b/>
                <w:bCs/>
                <w:kern w:val="2"/>
                <w:sz w:val="21"/>
                <w:szCs w:val="21"/>
                <w:highlight w:val="none"/>
                <w:lang w:val="en-US" w:eastAsia="zh-CN" w:bidi="zh-CN"/>
              </w:rPr>
              <w:t>相关</w:t>
            </w:r>
            <w:r>
              <w:rPr>
                <w:rFonts w:hint="eastAsia" w:ascii="宋体" w:hAnsi="宋体" w:eastAsia="宋体" w:cs="宋体"/>
                <w:b/>
                <w:bCs/>
                <w:kern w:val="2"/>
                <w:sz w:val="21"/>
                <w:szCs w:val="21"/>
                <w:highlight w:val="none"/>
                <w:lang w:val="en-US" w:eastAsia="zh-CN" w:bidi="zh-CN"/>
              </w:rPr>
              <w:t>证书</w:t>
            </w:r>
            <w:r>
              <w:rPr>
                <w:rFonts w:hint="eastAsia" w:ascii="宋体" w:hAnsi="宋体" w:cs="宋体"/>
                <w:b/>
                <w:bCs/>
                <w:kern w:val="2"/>
                <w:sz w:val="21"/>
                <w:szCs w:val="21"/>
                <w:highlight w:val="none"/>
                <w:lang w:val="en-US" w:eastAsia="zh-CN" w:bidi="zh-CN"/>
              </w:rPr>
              <w:t>及证明材料</w:t>
            </w:r>
            <w:r>
              <w:rPr>
                <w:rFonts w:hint="eastAsia" w:ascii="宋体" w:hAnsi="宋体" w:eastAsia="宋体" w:cs="宋体"/>
                <w:b/>
                <w:bCs/>
                <w:kern w:val="2"/>
                <w:sz w:val="21"/>
                <w:szCs w:val="21"/>
                <w:highlight w:val="none"/>
                <w:lang w:val="en-US" w:eastAsia="zh-CN" w:bidi="zh-CN"/>
              </w:rPr>
              <w:t>扫描件加盖公章，不提供或不符合要求的不得分。</w:t>
            </w:r>
          </w:p>
        </w:tc>
        <w:tc>
          <w:tcPr>
            <w:tcW w:w="450" w:type="pct"/>
            <w:noWrap w:val="0"/>
            <w:vAlign w:val="center"/>
          </w:tcPr>
          <w:p w14:paraId="2918765A">
            <w:pPr>
              <w:pStyle w:val="49"/>
              <w:pageBreakBefore w:val="0"/>
              <w:kinsoku/>
              <w:topLinePunct w:val="0"/>
              <w:bidi w:val="0"/>
              <w:spacing w:line="360" w:lineRule="auto"/>
              <w:ind w:left="191" w:leftChars="0" w:right="188" w:rightChars="0"/>
              <w:jc w:val="center"/>
              <w:rPr>
                <w:rFonts w:hint="eastAsia" w:ascii="宋体" w:hAnsi="宋体" w:eastAsia="宋体" w:cs="宋体"/>
                <w:sz w:val="21"/>
                <w:szCs w:val="21"/>
                <w:highlight w:val="none"/>
                <w:lang w:val="en-US" w:eastAsia="zh-CN"/>
              </w:rPr>
            </w:pPr>
            <w:r>
              <w:rPr>
                <w:rFonts w:hint="eastAsia" w:cs="宋体"/>
                <w:b/>
                <w:sz w:val="21"/>
                <w:szCs w:val="21"/>
                <w:highlight w:val="none"/>
                <w:lang w:val="en-US" w:eastAsia="zh-CN"/>
              </w:rPr>
              <w:t>9</w:t>
            </w:r>
          </w:p>
        </w:tc>
      </w:tr>
      <w:tr w14:paraId="27356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2" w:hRule="atLeast"/>
        </w:trPr>
        <w:tc>
          <w:tcPr>
            <w:tcW w:w="877" w:type="pct"/>
            <w:noWrap w:val="0"/>
            <w:vAlign w:val="center"/>
          </w:tcPr>
          <w:p w14:paraId="77B0B121">
            <w:pPr>
              <w:pStyle w:val="49"/>
              <w:pageBreakBefore w:val="0"/>
              <w:kinsoku/>
              <w:topLinePunct w:val="0"/>
              <w:bidi w:val="0"/>
              <w:spacing w:line="360" w:lineRule="auto"/>
              <w:ind w:left="232" w:leftChars="0" w:right="223" w:rightChars="0"/>
              <w:jc w:val="center"/>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接待车辆</w:t>
            </w:r>
          </w:p>
        </w:tc>
        <w:tc>
          <w:tcPr>
            <w:tcW w:w="3672" w:type="pct"/>
            <w:noWrap w:val="0"/>
            <w:vAlign w:val="top"/>
          </w:tcPr>
          <w:p w14:paraId="7ABCCA01">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承诺在中标后配备接待车辆的，有1台得2分，最高得6分。</w:t>
            </w:r>
          </w:p>
          <w:p w14:paraId="7E2D58E6">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注：提供承诺书（加盖公章）放入</w:t>
            </w:r>
            <w:r>
              <w:rPr>
                <w:rFonts w:hint="eastAsia" w:cs="宋体"/>
                <w:kern w:val="2"/>
                <w:sz w:val="21"/>
                <w:szCs w:val="21"/>
                <w:highlight w:val="none"/>
                <w:lang w:val="en-US" w:eastAsia="zh-CN" w:bidi="zh-CN"/>
              </w:rPr>
              <w:t>响应文件</w:t>
            </w:r>
            <w:r>
              <w:rPr>
                <w:rFonts w:hint="eastAsia" w:ascii="宋体" w:hAnsi="宋体" w:eastAsia="宋体" w:cs="宋体"/>
                <w:kern w:val="2"/>
                <w:sz w:val="21"/>
                <w:szCs w:val="21"/>
                <w:highlight w:val="none"/>
                <w:lang w:val="en-US" w:eastAsia="zh-CN" w:bidi="zh-CN"/>
              </w:rPr>
              <w:t>内，格式自拟，不提供或提供不符合要求则不得分。</w:t>
            </w:r>
          </w:p>
        </w:tc>
        <w:tc>
          <w:tcPr>
            <w:tcW w:w="450" w:type="pct"/>
            <w:noWrap w:val="0"/>
            <w:vAlign w:val="center"/>
          </w:tcPr>
          <w:p w14:paraId="03A141E4">
            <w:pPr>
              <w:pStyle w:val="49"/>
              <w:pageBreakBefore w:val="0"/>
              <w:kinsoku/>
              <w:topLinePunct w:val="0"/>
              <w:bidi w:val="0"/>
              <w:spacing w:before="194" w:line="360" w:lineRule="auto"/>
              <w:ind w:left="2" w:leftChars="0"/>
              <w:jc w:val="center"/>
              <w:rPr>
                <w:rFonts w:hint="eastAsia" w:ascii="宋体" w:hAnsi="宋体" w:eastAsia="宋体" w:cs="宋体"/>
                <w:b/>
                <w:sz w:val="21"/>
                <w:szCs w:val="21"/>
                <w:highlight w:val="none"/>
              </w:rPr>
            </w:pPr>
            <w:r>
              <w:rPr>
                <w:rFonts w:hint="eastAsia" w:ascii="宋体" w:hAnsi="宋体" w:eastAsia="宋体" w:cs="宋体"/>
                <w:b/>
                <w:w w:val="100"/>
                <w:sz w:val="21"/>
                <w:szCs w:val="21"/>
                <w:highlight w:val="none"/>
                <w:lang w:val="en-US" w:eastAsia="zh-CN"/>
              </w:rPr>
              <w:t>6</w:t>
            </w:r>
          </w:p>
        </w:tc>
      </w:tr>
      <w:tr w14:paraId="686CE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000" w:type="pct"/>
            <w:gridSpan w:val="3"/>
            <w:noWrap w:val="0"/>
            <w:vAlign w:val="center"/>
          </w:tcPr>
          <w:p w14:paraId="2A978D30">
            <w:pPr>
              <w:pStyle w:val="49"/>
              <w:pageBreakBefore w:val="0"/>
              <w:kinsoku/>
              <w:topLinePunct w:val="0"/>
              <w:bidi w:val="0"/>
              <w:spacing w:before="194" w:line="360" w:lineRule="auto"/>
              <w:ind w:left="2" w:leftChars="0"/>
              <w:jc w:val="center"/>
              <w:rPr>
                <w:rFonts w:hint="eastAsia" w:ascii="宋体" w:hAnsi="宋体" w:eastAsia="宋体" w:cs="宋体"/>
                <w:b/>
                <w:w w:val="100"/>
                <w:sz w:val="21"/>
                <w:szCs w:val="21"/>
                <w:highlight w:val="none"/>
                <w:lang w:val="en-US" w:eastAsia="zh-CN"/>
              </w:rPr>
            </w:pPr>
            <w:r>
              <w:rPr>
                <w:rFonts w:hint="eastAsia" w:ascii="宋体" w:hAnsi="宋体" w:eastAsia="宋体" w:cs="宋体"/>
                <w:sz w:val="21"/>
                <w:szCs w:val="21"/>
                <w:highlight w:val="none"/>
                <w:lang w:val="en-US" w:eastAsia="zh-CN"/>
              </w:rPr>
              <w:t>二、技术部分（60分）</w:t>
            </w:r>
          </w:p>
        </w:tc>
      </w:tr>
      <w:tr w14:paraId="3EC36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8" w:hRule="atLeast"/>
        </w:trPr>
        <w:tc>
          <w:tcPr>
            <w:tcW w:w="877" w:type="pct"/>
            <w:noWrap w:val="0"/>
            <w:vAlign w:val="center"/>
          </w:tcPr>
          <w:p w14:paraId="3038DE3C">
            <w:pPr>
              <w:pStyle w:val="49"/>
              <w:pageBreakBefore w:val="0"/>
              <w:kinsoku/>
              <w:topLinePunct w:val="0"/>
              <w:bidi w:val="0"/>
              <w:spacing w:line="360" w:lineRule="auto"/>
              <w:ind w:left="232" w:leftChars="0" w:right="223" w:rightChars="0"/>
              <w:jc w:val="center"/>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活动策划方案</w:t>
            </w:r>
          </w:p>
        </w:tc>
        <w:tc>
          <w:tcPr>
            <w:tcW w:w="3672" w:type="pct"/>
            <w:noWrap w:val="0"/>
            <w:vAlign w:val="top"/>
          </w:tcPr>
          <w:p w14:paraId="4C441919">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方案包含论坛主题内容、论坛会议议程、嘉宾行程安排等。</w:t>
            </w:r>
          </w:p>
          <w:p w14:paraId="629EF2BF">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方案详细完整，针对性强、可操作性强，思路合理得9分。</w:t>
            </w:r>
          </w:p>
          <w:p w14:paraId="22290E5B">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方案较详细，针对性、可操作性较强，思路较合理得7分；</w:t>
            </w:r>
          </w:p>
          <w:p w14:paraId="69276A73">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方案简单，针对性、可操作性一般，思路可行性不高得4分；</w:t>
            </w:r>
          </w:p>
          <w:p w14:paraId="6D57B6A5">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方案可操作性差，思路不尽合理得1分；</w:t>
            </w:r>
          </w:p>
          <w:p w14:paraId="16CD815F">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未提供方案，得0分。</w:t>
            </w:r>
          </w:p>
        </w:tc>
        <w:tc>
          <w:tcPr>
            <w:tcW w:w="450" w:type="pct"/>
            <w:noWrap w:val="0"/>
            <w:vAlign w:val="center"/>
          </w:tcPr>
          <w:p w14:paraId="157168B6">
            <w:pPr>
              <w:pStyle w:val="49"/>
              <w:pageBreakBefore w:val="0"/>
              <w:kinsoku/>
              <w:topLinePunct w:val="0"/>
              <w:bidi w:val="0"/>
              <w:spacing w:before="1" w:line="360" w:lineRule="auto"/>
              <w:ind w:left="192" w:right="188"/>
              <w:jc w:val="center"/>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val="en-US" w:eastAsia="zh-CN"/>
              </w:rPr>
              <w:t>9</w:t>
            </w:r>
          </w:p>
        </w:tc>
      </w:tr>
      <w:tr w14:paraId="4A880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atLeast"/>
        </w:trPr>
        <w:tc>
          <w:tcPr>
            <w:tcW w:w="877" w:type="pct"/>
            <w:noWrap w:val="0"/>
            <w:vAlign w:val="center"/>
          </w:tcPr>
          <w:p w14:paraId="11BD0D98">
            <w:pPr>
              <w:pStyle w:val="49"/>
              <w:pageBreakBefore w:val="0"/>
              <w:kinsoku/>
              <w:topLinePunct w:val="0"/>
              <w:bidi w:val="0"/>
              <w:spacing w:line="360" w:lineRule="auto"/>
              <w:ind w:left="338" w:right="115" w:hanging="209"/>
              <w:jc w:val="center"/>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rPr>
              <w:t>会务组织方案</w:t>
            </w:r>
          </w:p>
        </w:tc>
        <w:tc>
          <w:tcPr>
            <w:tcW w:w="3672" w:type="pct"/>
            <w:noWrap w:val="0"/>
            <w:vAlign w:val="top"/>
          </w:tcPr>
          <w:p w14:paraId="7AAA35F3">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（1）会场现场布置的设备搭建及租用方案（3分）：方案详细，针对性强、可操作性强，得3分；方案较详细，针对性、可操作性较强，得2分；方案普通，针对性、可操作性一般得1分；未提供方案，得0分。</w:t>
            </w:r>
          </w:p>
          <w:p w14:paraId="492F9F23">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（2）物料制作、餐饮住宿安排、交通保障方案（3分）：方案详细，针对性强、可操作性强，得3分；方案较详细，针对性、可操作性较强，得2分；方案普通，针对性、可操作性一般得1分；未提供方案，得0分。</w:t>
            </w:r>
          </w:p>
          <w:p w14:paraId="1ABC4BA6">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会场执行、礼仪、志愿者、图文、速记等其他事项安排（3分）：方案详细，针对性强、可操作性强，得3分；方案较详细，针对性、可操作性较强，得2分；方案普通，针对性、可操作性一般得1分；未提供方案，得0分。</w:t>
            </w:r>
          </w:p>
        </w:tc>
        <w:tc>
          <w:tcPr>
            <w:tcW w:w="450" w:type="pct"/>
            <w:noWrap w:val="0"/>
            <w:vAlign w:val="center"/>
          </w:tcPr>
          <w:p w14:paraId="3BE677FE">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9</w:t>
            </w:r>
          </w:p>
        </w:tc>
      </w:tr>
      <w:tr w14:paraId="14398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877" w:type="pct"/>
            <w:noWrap w:val="0"/>
            <w:vAlign w:val="center"/>
          </w:tcPr>
          <w:p w14:paraId="5AFFC872">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嘉宾邀请</w:t>
            </w:r>
            <w:r>
              <w:rPr>
                <w:rFonts w:hint="eastAsia" w:ascii="宋体" w:hAnsi="宋体" w:eastAsia="宋体" w:cs="宋体"/>
                <w:color w:val="auto"/>
                <w:sz w:val="21"/>
                <w:szCs w:val="21"/>
                <w:highlight w:val="none"/>
                <w:lang w:val="en-US" w:eastAsia="zh-CN"/>
              </w:rPr>
              <w:t>及接待计划</w:t>
            </w:r>
          </w:p>
        </w:tc>
        <w:tc>
          <w:tcPr>
            <w:tcW w:w="3672" w:type="pct"/>
            <w:noWrap w:val="0"/>
            <w:vAlign w:val="top"/>
          </w:tcPr>
          <w:p w14:paraId="69BD8A9B">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参会及演讲嘉宾邀请、专业观众组织计划（3分）：组织计划详细，针对性强、可操作性强，思路合理得3分；组织计划较详细，针对性、可操作性较强，思路较合理得2分；组织计划普通，针对性、可操作性一般得1分；未提供组织计划，得0分。</w:t>
            </w:r>
          </w:p>
          <w:p w14:paraId="4308FD29">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嘉宾和参会人员接待方案（3分）：接待方案详细，针对性强、可操作性强，思路合理得3分；接待方案较详细，针对性、可操作性较强，思路较合理得2分；接待方案普通，针对性、可操作性一般得1分；未提供接待方案，得0分。</w:t>
            </w:r>
          </w:p>
          <w:p w14:paraId="3C5322DB">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（3）车辆接送方案等（3分）：方案详细，针对性强、可操作性强，思路合理得3分；方案较详细，针对性、可操作性较强，思路较合理得2分；方案普通，针对性、可操作性一般得1分；未提供方案，得0分。</w:t>
            </w:r>
          </w:p>
        </w:tc>
        <w:tc>
          <w:tcPr>
            <w:tcW w:w="450" w:type="pct"/>
            <w:noWrap w:val="0"/>
            <w:vAlign w:val="center"/>
          </w:tcPr>
          <w:p w14:paraId="710C6A66">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9</w:t>
            </w:r>
          </w:p>
        </w:tc>
      </w:tr>
      <w:tr w14:paraId="61A7A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atLeast"/>
        </w:trPr>
        <w:tc>
          <w:tcPr>
            <w:tcW w:w="877" w:type="pct"/>
            <w:noWrap w:val="0"/>
            <w:vAlign w:val="center"/>
          </w:tcPr>
          <w:p w14:paraId="41D844C4">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会务执行方案</w:t>
            </w:r>
          </w:p>
        </w:tc>
        <w:tc>
          <w:tcPr>
            <w:tcW w:w="3672" w:type="pct"/>
            <w:noWrap w:val="0"/>
            <w:vAlign w:val="top"/>
          </w:tcPr>
          <w:p w14:paraId="05EB144A">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执行方案详细完整，针对性强、可操作性强，思路合理得7分；</w:t>
            </w:r>
          </w:p>
          <w:p w14:paraId="41C47160">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执行方案较详细，针对性、可操作性较强，思路较合理得5分；</w:t>
            </w:r>
          </w:p>
          <w:p w14:paraId="4459AD36">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执行方案简单，针对性、可操作性一般，思路可行性不高得3分；</w:t>
            </w:r>
          </w:p>
          <w:p w14:paraId="5057E798">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执行方案可操作性差，思路不尽合理得1分；</w:t>
            </w:r>
          </w:p>
          <w:p w14:paraId="002F281A">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未提供执行方案，得0分。</w:t>
            </w:r>
          </w:p>
        </w:tc>
        <w:tc>
          <w:tcPr>
            <w:tcW w:w="450" w:type="pct"/>
            <w:noWrap w:val="0"/>
            <w:vAlign w:val="center"/>
          </w:tcPr>
          <w:p w14:paraId="1FFB4218">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7</w:t>
            </w:r>
          </w:p>
        </w:tc>
      </w:tr>
      <w:tr w14:paraId="57BBB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4" w:hRule="atLeast"/>
        </w:trPr>
        <w:tc>
          <w:tcPr>
            <w:tcW w:w="877" w:type="pct"/>
            <w:noWrap w:val="0"/>
            <w:vAlign w:val="center"/>
          </w:tcPr>
          <w:p w14:paraId="63C94E1A">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投标供应商组织</w:t>
            </w:r>
            <w:r>
              <w:rPr>
                <w:rFonts w:hint="eastAsia" w:ascii="宋体" w:hAnsi="宋体" w:eastAsia="宋体" w:cs="宋体"/>
                <w:color w:val="auto"/>
                <w:sz w:val="21"/>
                <w:szCs w:val="21"/>
                <w:highlight w:val="none"/>
                <w:lang w:val="en-US" w:eastAsia="zh-CN"/>
              </w:rPr>
              <w:t>架构</w:t>
            </w:r>
            <w:r>
              <w:rPr>
                <w:rFonts w:hint="eastAsia" w:ascii="宋体" w:hAnsi="宋体" w:eastAsia="宋体" w:cs="宋体"/>
                <w:color w:val="auto"/>
                <w:sz w:val="21"/>
                <w:szCs w:val="21"/>
                <w:highlight w:val="none"/>
              </w:rPr>
              <w:t>、各岗位职责分工、管理机制</w:t>
            </w:r>
          </w:p>
        </w:tc>
        <w:tc>
          <w:tcPr>
            <w:tcW w:w="3672" w:type="pct"/>
            <w:noWrap w:val="0"/>
            <w:vAlign w:val="top"/>
          </w:tcPr>
          <w:p w14:paraId="092CFA8E">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组织架构、各岗位职责分工、管理机制详细完整，针对性强、可操作性强，思路合理得6分；</w:t>
            </w:r>
          </w:p>
          <w:p w14:paraId="2DCC1DC0">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组织架构、各岗位职责分工、管理机制较详细，针对性、可操作性较强，思路较合理得4分；</w:t>
            </w:r>
          </w:p>
          <w:p w14:paraId="7EB5DE82">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组织架构、各岗位职责分工、管理机制简单，针对性、可操作性一般，思路可行性不高得2分；</w:t>
            </w:r>
          </w:p>
          <w:p w14:paraId="643E458D">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组织架构、各岗位职责分工、管理机制可操作性差，思路不尽合理得1分；</w:t>
            </w:r>
          </w:p>
          <w:p w14:paraId="3E2DF18F">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未提供组织架构、各岗位职责分工、管理机制得0分。</w:t>
            </w:r>
          </w:p>
        </w:tc>
        <w:tc>
          <w:tcPr>
            <w:tcW w:w="450" w:type="pct"/>
            <w:noWrap w:val="0"/>
            <w:vAlign w:val="center"/>
          </w:tcPr>
          <w:p w14:paraId="701F54B9">
            <w:pPr>
              <w:pStyle w:val="49"/>
              <w:pageBreakBefore w:val="0"/>
              <w:kinsoku/>
              <w:topLinePunct w:val="0"/>
              <w:bidi w:val="0"/>
              <w:spacing w:before="1" w:line="360" w:lineRule="auto"/>
              <w:ind w:left="107" w:leftChars="0" w:right="92" w:rightChars="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w:t>
            </w:r>
          </w:p>
        </w:tc>
      </w:tr>
      <w:tr w14:paraId="44FDC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877" w:type="pct"/>
            <w:noWrap w:val="0"/>
            <w:vAlign w:val="center"/>
          </w:tcPr>
          <w:p w14:paraId="46BD9247">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针对本项目的服务质量保证措施</w:t>
            </w:r>
          </w:p>
        </w:tc>
        <w:tc>
          <w:tcPr>
            <w:tcW w:w="3672" w:type="pct"/>
            <w:noWrap w:val="0"/>
            <w:vAlign w:val="top"/>
          </w:tcPr>
          <w:p w14:paraId="04F34807">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措施详细完整，针对性强、可操作性强，思路合理得6分；</w:t>
            </w:r>
          </w:p>
          <w:p w14:paraId="4CF663FF">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措施较详细，针对性、可操作性较强，思路较合理得4分；</w:t>
            </w:r>
          </w:p>
          <w:p w14:paraId="49751373">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措施简单，针对性、可操作性一般，思路可行性不高得2分；</w:t>
            </w:r>
          </w:p>
          <w:p w14:paraId="22043E6B">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措施可操作性差，思路不尽合理得1分；</w:t>
            </w:r>
          </w:p>
          <w:p w14:paraId="0586B38E">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未提供措施，得0分。</w:t>
            </w:r>
            <w:bookmarkStart w:id="131" w:name="_GoBack"/>
            <w:bookmarkEnd w:id="131"/>
          </w:p>
        </w:tc>
        <w:tc>
          <w:tcPr>
            <w:tcW w:w="450" w:type="pct"/>
            <w:noWrap w:val="0"/>
            <w:vAlign w:val="center"/>
          </w:tcPr>
          <w:p w14:paraId="339CDAF9">
            <w:pPr>
              <w:pStyle w:val="49"/>
              <w:pageBreakBefore w:val="0"/>
              <w:kinsoku/>
              <w:topLinePunct w:val="0"/>
              <w:bidi w:val="0"/>
              <w:spacing w:before="1" w:line="360" w:lineRule="auto"/>
              <w:ind w:left="107" w:leftChars="0" w:right="92" w:rightChars="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w:t>
            </w:r>
          </w:p>
        </w:tc>
      </w:tr>
      <w:tr w14:paraId="5FA4D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atLeast"/>
        </w:trPr>
        <w:tc>
          <w:tcPr>
            <w:tcW w:w="877" w:type="pct"/>
            <w:noWrap w:val="0"/>
            <w:vAlign w:val="center"/>
          </w:tcPr>
          <w:p w14:paraId="03833D30">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lang w:val="en-US" w:eastAsia="zh-CN"/>
              </w:rPr>
              <w:t>分析</w:t>
            </w:r>
            <w:r>
              <w:rPr>
                <w:rFonts w:hint="eastAsia" w:ascii="宋体" w:hAnsi="宋体" w:eastAsia="宋体" w:cs="宋体"/>
                <w:color w:val="auto"/>
                <w:kern w:val="0"/>
                <w:sz w:val="21"/>
                <w:szCs w:val="21"/>
                <w:highlight w:val="none"/>
              </w:rPr>
              <w:t>本项目的特点、重点和难点</w:t>
            </w:r>
            <w:r>
              <w:rPr>
                <w:rFonts w:hint="eastAsia" w:ascii="宋体" w:hAnsi="宋体" w:eastAsia="宋体" w:cs="宋体"/>
                <w:color w:val="auto"/>
                <w:kern w:val="0"/>
                <w:sz w:val="21"/>
                <w:szCs w:val="21"/>
                <w:highlight w:val="none"/>
                <w:lang w:val="en-US" w:eastAsia="zh-CN"/>
              </w:rPr>
              <w:t>以及相应的应对</w:t>
            </w:r>
            <w:r>
              <w:rPr>
                <w:rFonts w:hint="eastAsia" w:ascii="宋体" w:hAnsi="宋体" w:eastAsia="宋体" w:cs="宋体"/>
                <w:color w:val="auto"/>
                <w:kern w:val="0"/>
                <w:sz w:val="21"/>
                <w:szCs w:val="21"/>
                <w:highlight w:val="none"/>
              </w:rPr>
              <w:t>措施</w:t>
            </w:r>
          </w:p>
        </w:tc>
        <w:tc>
          <w:tcPr>
            <w:tcW w:w="3672" w:type="pct"/>
            <w:noWrap w:val="0"/>
            <w:vAlign w:val="top"/>
          </w:tcPr>
          <w:p w14:paraId="06CC459A">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措施详细完整，针对性强、可操作性强，思路合理得5分；</w:t>
            </w:r>
          </w:p>
          <w:p w14:paraId="4B8D6216">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措施较详细，针对性、可操作性较强，思路较合理得4分；</w:t>
            </w:r>
          </w:p>
          <w:p w14:paraId="4478D981">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措施简单，针对性、可操作性一般，思路可行性不高得3分；</w:t>
            </w:r>
          </w:p>
          <w:p w14:paraId="11F0C7C3">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措施可操作性差，思路不尽合理得1分；</w:t>
            </w:r>
          </w:p>
          <w:p w14:paraId="18FD9233">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未提供措施，得0分。</w:t>
            </w:r>
          </w:p>
        </w:tc>
        <w:tc>
          <w:tcPr>
            <w:tcW w:w="450" w:type="pct"/>
            <w:noWrap w:val="0"/>
            <w:vAlign w:val="center"/>
          </w:tcPr>
          <w:p w14:paraId="15E6EEB0">
            <w:pPr>
              <w:pStyle w:val="49"/>
              <w:pageBreakBefore w:val="0"/>
              <w:kinsoku/>
              <w:topLinePunct w:val="0"/>
              <w:bidi w:val="0"/>
              <w:spacing w:line="360" w:lineRule="auto"/>
              <w:ind w:left="190" w:right="188"/>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5</w:t>
            </w:r>
          </w:p>
        </w:tc>
      </w:tr>
      <w:tr w14:paraId="1EF85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atLeast"/>
        </w:trPr>
        <w:tc>
          <w:tcPr>
            <w:tcW w:w="877" w:type="pct"/>
            <w:noWrap w:val="0"/>
            <w:vAlign w:val="center"/>
          </w:tcPr>
          <w:p w14:paraId="4B73A8AA">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lang w:val="en-US" w:eastAsia="zh-CN"/>
              </w:rPr>
              <w:t>应急处理预案，包括</w:t>
            </w:r>
            <w:r>
              <w:rPr>
                <w:rFonts w:hint="eastAsia" w:ascii="宋体" w:hAnsi="宋体" w:eastAsia="宋体" w:cs="宋体"/>
                <w:bCs/>
                <w:color w:val="auto"/>
                <w:sz w:val="21"/>
                <w:szCs w:val="21"/>
                <w:highlight w:val="none"/>
                <w:lang w:val="en-US" w:eastAsia="zh-CN"/>
              </w:rPr>
              <w:t>大会延期、活动现场</w:t>
            </w:r>
            <w:r>
              <w:rPr>
                <w:rFonts w:hint="eastAsia" w:cs="宋体"/>
                <w:bCs/>
                <w:color w:val="auto"/>
                <w:sz w:val="21"/>
                <w:szCs w:val="21"/>
                <w:highlight w:val="none"/>
                <w:lang w:val="en-US" w:eastAsia="zh-CN"/>
              </w:rPr>
              <w:t>等</w:t>
            </w:r>
            <w:r>
              <w:rPr>
                <w:rFonts w:hint="eastAsia" w:ascii="宋体" w:hAnsi="宋体" w:eastAsia="宋体" w:cs="宋体"/>
                <w:bCs/>
                <w:color w:val="auto"/>
                <w:sz w:val="21"/>
                <w:szCs w:val="21"/>
                <w:highlight w:val="none"/>
                <w:lang w:val="en-US" w:eastAsia="zh-CN"/>
              </w:rPr>
              <w:t>突发状况的应急措施</w:t>
            </w:r>
          </w:p>
        </w:tc>
        <w:tc>
          <w:tcPr>
            <w:tcW w:w="3672" w:type="pct"/>
            <w:noWrap w:val="0"/>
            <w:vAlign w:val="top"/>
          </w:tcPr>
          <w:p w14:paraId="4DF7EBAF">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措施详细完整，针对性强、可操作性强，思路合理得5分；</w:t>
            </w:r>
          </w:p>
          <w:p w14:paraId="55EE5739">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措施较详细，针对性、可操作性较强，思路较合理得3分；</w:t>
            </w:r>
          </w:p>
          <w:p w14:paraId="3C4FE171">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措施简单，针对性、可操作性一般，思路可行性不高得2分；</w:t>
            </w:r>
          </w:p>
          <w:p w14:paraId="25485E78">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措施可操作性差，思路不尽合理得1分；</w:t>
            </w:r>
          </w:p>
          <w:p w14:paraId="34AB298B">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未提供措施，得0分。</w:t>
            </w:r>
          </w:p>
        </w:tc>
        <w:tc>
          <w:tcPr>
            <w:tcW w:w="450" w:type="pct"/>
            <w:noWrap w:val="0"/>
            <w:vAlign w:val="center"/>
          </w:tcPr>
          <w:p w14:paraId="4548C9E7">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5</w:t>
            </w:r>
          </w:p>
        </w:tc>
      </w:tr>
      <w:tr w14:paraId="5A097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atLeast"/>
        </w:trPr>
        <w:tc>
          <w:tcPr>
            <w:tcW w:w="877" w:type="pct"/>
            <w:noWrap w:val="0"/>
            <w:vAlign w:val="center"/>
          </w:tcPr>
          <w:p w14:paraId="43ADA50F">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rPr>
              <w:t>本项目其他优惠措施及特色服务承诺</w:t>
            </w:r>
          </w:p>
        </w:tc>
        <w:tc>
          <w:tcPr>
            <w:tcW w:w="3672" w:type="pct"/>
            <w:tcBorders>
              <w:bottom w:val="single" w:color="auto" w:sz="4" w:space="0"/>
            </w:tcBorders>
            <w:noWrap w:val="0"/>
            <w:vAlign w:val="top"/>
          </w:tcPr>
          <w:p w14:paraId="33EDAFB4">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措施详细，针对性强、可操作性强，思路合理得4分；</w:t>
            </w:r>
          </w:p>
          <w:p w14:paraId="7CFB5612">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措施较详细，针对性、可操作性较强，思路较合理得3分；</w:t>
            </w:r>
          </w:p>
          <w:p w14:paraId="435A8295">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措施普通，针对性、可操作性一般得1分；</w:t>
            </w:r>
          </w:p>
          <w:p w14:paraId="7E871372">
            <w:pPr>
              <w:pStyle w:val="49"/>
              <w:pageBreakBefore w:val="0"/>
              <w:kinsoku/>
              <w:topLinePunct w:val="0"/>
              <w:bidi w:val="0"/>
              <w:spacing w:before="1" w:line="360" w:lineRule="auto"/>
              <w:ind w:left="107" w:leftChars="0" w:right="92"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未提供措施，得0分。</w:t>
            </w:r>
          </w:p>
        </w:tc>
        <w:tc>
          <w:tcPr>
            <w:tcW w:w="450" w:type="pct"/>
            <w:tcBorders>
              <w:bottom w:val="single" w:color="auto" w:sz="4" w:space="0"/>
            </w:tcBorders>
            <w:noWrap w:val="0"/>
            <w:vAlign w:val="center"/>
          </w:tcPr>
          <w:p w14:paraId="502AEC16">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4</w:t>
            </w:r>
          </w:p>
        </w:tc>
      </w:tr>
    </w:tbl>
    <w:p w14:paraId="652DC874">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注：1.上述响应文件中，证书或证明或业绩必须提供复印件或扫描件（加盖供应商公章），如发现弄虚作假的，将按照本采购文件相关条款规定予以处理。 </w:t>
      </w:r>
    </w:p>
    <w:p w14:paraId="286FF152">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2.评委依据采购文件载明的方法评分，评分四舍五入精确到小数点后两位。</w:t>
      </w:r>
    </w:p>
    <w:p w14:paraId="205CDD94">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3.政府采购政策功能的落实：本项目专门面向中小微企业。</w:t>
      </w:r>
    </w:p>
    <w:p w14:paraId="5D397C7C">
      <w:pPr>
        <w:spacing w:line="360" w:lineRule="auto"/>
        <w:ind w:firstLine="482"/>
        <w:rPr>
          <w:rFonts w:hint="eastAsia" w:ascii="宋体" w:hAnsi="宋体" w:cs="宋体"/>
          <w:b/>
          <w:szCs w:val="21"/>
          <w:highlight w:val="none"/>
        </w:rPr>
      </w:pPr>
      <w:r>
        <w:rPr>
          <w:rFonts w:hint="eastAsia" w:ascii="宋体" w:hAnsi="宋体" w:cs="宋体"/>
          <w:b/>
          <w:szCs w:val="21"/>
          <w:highlight w:val="none"/>
        </w:rPr>
        <w:t>六、成交供应商的确定</w:t>
      </w:r>
    </w:p>
    <w:p w14:paraId="01698B99">
      <w:pPr>
        <w:spacing w:line="360" w:lineRule="auto"/>
        <w:ind w:firstLine="480"/>
        <w:rPr>
          <w:rFonts w:hint="eastAsia" w:ascii="宋体" w:hAnsi="宋体" w:cs="宋体"/>
          <w:szCs w:val="21"/>
          <w:highlight w:val="none"/>
        </w:rPr>
      </w:pPr>
      <w:r>
        <w:rPr>
          <w:rFonts w:hint="eastAsia" w:ascii="宋体" w:hAnsi="宋体" w:cs="宋体"/>
          <w:szCs w:val="21"/>
          <w:highlight w:val="none"/>
        </w:rPr>
        <w:t>磋商小组汇总各评委评分后，按照得分从高到低的顺序推荐3名成交候选人，并编写评审报告。</w:t>
      </w:r>
    </w:p>
    <w:p w14:paraId="491D2B4C">
      <w:pPr>
        <w:spacing w:line="360" w:lineRule="auto"/>
        <w:ind w:firstLine="480"/>
        <w:rPr>
          <w:rFonts w:hint="eastAsia" w:ascii="宋体" w:hAnsi="宋体" w:cs="宋体"/>
          <w:szCs w:val="21"/>
          <w:highlight w:val="none"/>
        </w:rPr>
      </w:pPr>
      <w:r>
        <w:rPr>
          <w:rFonts w:hint="eastAsia" w:ascii="宋体" w:hAnsi="宋体" w:cs="宋体"/>
          <w:szCs w:val="21"/>
          <w:highlight w:val="none"/>
        </w:rPr>
        <w:t>采购人委托磋商小组直接确定排名第一的成交候选人为成交供应商。</w:t>
      </w:r>
    </w:p>
    <w:p w14:paraId="7F12DDB8">
      <w:pPr>
        <w:spacing w:line="360" w:lineRule="auto"/>
        <w:ind w:firstLine="482"/>
        <w:rPr>
          <w:rFonts w:hint="eastAsia" w:ascii="宋体" w:hAnsi="宋体" w:cs="宋体"/>
          <w:b/>
          <w:szCs w:val="21"/>
          <w:highlight w:val="none"/>
        </w:rPr>
      </w:pPr>
      <w:r>
        <w:rPr>
          <w:rFonts w:hint="eastAsia" w:ascii="宋体" w:hAnsi="宋体" w:cs="宋体"/>
          <w:b/>
          <w:szCs w:val="21"/>
          <w:highlight w:val="none"/>
        </w:rPr>
        <w:t>当成交商无正当理由放弃成交，被查实存在影响成交结果的违法行为等情形，采购人有权按照政府采购相关法律法规的规定对其采取惩戒措施，包含但不限于列入采购失信人黑名单等措施。</w:t>
      </w:r>
    </w:p>
    <w:p w14:paraId="11D0E2B8">
      <w:pPr>
        <w:spacing w:line="360" w:lineRule="auto"/>
        <w:ind w:firstLine="482"/>
        <w:rPr>
          <w:rFonts w:hint="eastAsia" w:ascii="宋体" w:hAnsi="宋体" w:cs="宋体"/>
          <w:b/>
          <w:szCs w:val="21"/>
          <w:highlight w:val="none"/>
        </w:rPr>
      </w:pPr>
      <w:r>
        <w:rPr>
          <w:rFonts w:hint="eastAsia" w:ascii="宋体" w:hAnsi="宋体" w:cs="宋体"/>
          <w:b/>
          <w:szCs w:val="21"/>
          <w:highlight w:val="none"/>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15965E86">
      <w:pPr>
        <w:spacing w:line="360" w:lineRule="auto"/>
        <w:ind w:firstLine="482"/>
        <w:rPr>
          <w:rFonts w:hint="eastAsia" w:ascii="宋体" w:hAnsi="宋体" w:cs="宋体"/>
          <w:b/>
          <w:szCs w:val="21"/>
          <w:highlight w:val="none"/>
        </w:rPr>
      </w:pPr>
      <w:r>
        <w:rPr>
          <w:rFonts w:hint="eastAsia" w:ascii="宋体" w:hAnsi="宋体" w:cs="宋体"/>
          <w:b/>
          <w:szCs w:val="21"/>
          <w:highlight w:val="none"/>
        </w:rPr>
        <w:t>七、公告成交结果及发放成交通知书</w:t>
      </w:r>
    </w:p>
    <w:p w14:paraId="44B4FE91">
      <w:pPr>
        <w:spacing w:line="360" w:lineRule="auto"/>
        <w:ind w:firstLine="480"/>
        <w:rPr>
          <w:rFonts w:hint="eastAsia" w:ascii="宋体" w:hAnsi="宋体" w:cs="宋体"/>
          <w:szCs w:val="21"/>
          <w:highlight w:val="none"/>
        </w:rPr>
      </w:pPr>
      <w:r>
        <w:rPr>
          <w:rFonts w:hint="eastAsia" w:ascii="宋体" w:hAnsi="宋体" w:cs="宋体"/>
          <w:szCs w:val="21"/>
          <w:highlight w:val="none"/>
        </w:rPr>
        <w:t>1.自确定成交供应商之日起2个工作日内，在江苏政府采购网公告成交结果，公告期限为1个工作日。</w:t>
      </w:r>
    </w:p>
    <w:p w14:paraId="6E96C9E1">
      <w:pPr>
        <w:spacing w:line="360" w:lineRule="auto"/>
        <w:ind w:firstLine="480"/>
        <w:rPr>
          <w:rFonts w:hint="eastAsia" w:ascii="宋体" w:hAnsi="宋体" w:cs="宋体"/>
          <w:szCs w:val="21"/>
          <w:highlight w:val="none"/>
        </w:rPr>
      </w:pPr>
      <w:r>
        <w:rPr>
          <w:rFonts w:hint="eastAsia" w:ascii="宋体" w:hAnsi="宋体" w:cs="宋体"/>
          <w:szCs w:val="21"/>
          <w:highlight w:val="none"/>
        </w:rPr>
        <w:t>2.公告成交结果的同时，采购代理机构向成交供应商发放成交通知书。成交通知书发出后，采购人不得违法改变成交结果，成交供应商无正当理由不得放弃成交。</w:t>
      </w:r>
    </w:p>
    <w:p w14:paraId="29CBA856">
      <w:pPr>
        <w:tabs>
          <w:tab w:val="left" w:pos="360"/>
          <w:tab w:val="left" w:pos="1080"/>
        </w:tabs>
        <w:spacing w:line="360" w:lineRule="auto"/>
        <w:ind w:firstLine="883" w:firstLineChars="200"/>
        <w:rPr>
          <w:rFonts w:hint="eastAsia" w:ascii="宋体" w:hAnsi="宋体" w:cs="宋体"/>
          <w:b/>
          <w:bCs/>
          <w:szCs w:val="21"/>
          <w:highlight w:val="none"/>
        </w:rPr>
      </w:pPr>
      <w:r>
        <w:rPr>
          <w:rFonts w:hint="eastAsia"/>
          <w:b/>
          <w:sz w:val="44"/>
          <w:szCs w:val="44"/>
          <w:highlight w:val="none"/>
        </w:rPr>
        <w:br w:type="page" w:clear="all"/>
      </w:r>
    </w:p>
    <w:p w14:paraId="0505BECB">
      <w:pPr>
        <w:pStyle w:val="18"/>
        <w:spacing w:line="360" w:lineRule="auto"/>
        <w:rPr>
          <w:rFonts w:hint="eastAsia" w:ascii="宋体" w:hAnsi="宋体"/>
          <w:bCs w:val="0"/>
          <w:sz w:val="21"/>
          <w:szCs w:val="21"/>
          <w:highlight w:val="none"/>
        </w:rPr>
      </w:pPr>
      <w:bookmarkStart w:id="101" w:name="_Toc107246273"/>
      <w:r>
        <w:rPr>
          <w:rFonts w:hint="eastAsia" w:ascii="宋体" w:hAnsi="宋体"/>
          <w:bCs w:val="0"/>
          <w:sz w:val="21"/>
          <w:szCs w:val="21"/>
          <w:highlight w:val="none"/>
        </w:rPr>
        <w:t>第六章 响应文件格式</w:t>
      </w:r>
      <w:bookmarkEnd w:id="101"/>
    </w:p>
    <w:p w14:paraId="4E6D0C8C">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一、资格审查文件</w:t>
      </w:r>
    </w:p>
    <w:p w14:paraId="48872BFA">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1.法定代表人身份证明书及法定代表人身份证复印件；</w:t>
      </w:r>
    </w:p>
    <w:p w14:paraId="04AEFCDA">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2.法定代表人授权委托书及授权委托人身份证复印件（如有）；</w:t>
      </w:r>
    </w:p>
    <w:p w14:paraId="4826E14E">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3.响应人营业执照复印件；</w:t>
      </w:r>
    </w:p>
    <w:p w14:paraId="169E4A53">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 xml:space="preserve">4.供应商近六个月中任意一个月（不含投标当月）的财务状况报告（资产负债表和利润表）或由会计师事务所出具的近两年中任意一个年度的审计报告和所附已审财务报告扫描件； </w:t>
      </w:r>
    </w:p>
    <w:p w14:paraId="51961596">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 xml:space="preserve">5.供应商近六个月中任意一个月（不含投标当月）的依法缴纳税收的相关材料（提供相关主管部门证明或银行代扣证明）扫描件； </w:t>
      </w:r>
    </w:p>
    <w:p w14:paraId="05C7079E">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6.提供供应商近六个月中任意一个月（不含投标当月）的所在地社保机构出具的</w:t>
      </w:r>
      <w:r>
        <w:rPr>
          <w:rFonts w:hint="eastAsia" w:ascii="宋体" w:hAnsi="宋体" w:cs="宋体"/>
          <w:bCs/>
          <w:szCs w:val="21"/>
          <w:highlight w:val="none"/>
          <w:u w:val="single"/>
        </w:rPr>
        <w:t>社保缴费证明材料</w:t>
      </w:r>
      <w:r>
        <w:rPr>
          <w:rFonts w:hint="eastAsia" w:ascii="宋体" w:hAnsi="宋体" w:cs="宋体"/>
          <w:szCs w:val="21"/>
          <w:highlight w:val="none"/>
          <w:u w:val="single"/>
        </w:rPr>
        <w:t>，</w:t>
      </w:r>
      <w:r>
        <w:rPr>
          <w:rFonts w:hint="eastAsia" w:ascii="宋体" w:hAnsi="宋体" w:cs="宋体"/>
          <w:bCs/>
          <w:szCs w:val="21"/>
          <w:highlight w:val="none"/>
          <w:u w:val="single"/>
        </w:rPr>
        <w:t>成立不满一年的投标人无需提供社保缴费证明材料，但需提供书面情况说明及相关凭证</w:t>
      </w:r>
      <w:r>
        <w:rPr>
          <w:rFonts w:hint="eastAsia" w:ascii="宋体" w:hAnsi="宋体" w:cs="宋体"/>
          <w:szCs w:val="21"/>
          <w:highlight w:val="none"/>
          <w:u w:val="single"/>
        </w:rPr>
        <w:t>；</w:t>
      </w:r>
    </w:p>
    <w:p w14:paraId="3F7BEFFF">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7.投标人符合《中华人民共和国政府采购法》第二十二条规定条件的承诺函；</w:t>
      </w:r>
    </w:p>
    <w:p w14:paraId="10B2DAF0">
      <w:pPr>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8.诚信承诺书；</w:t>
      </w:r>
    </w:p>
    <w:p w14:paraId="3885DFBC">
      <w:pPr>
        <w:spacing w:line="360" w:lineRule="auto"/>
        <w:ind w:firstLine="480"/>
        <w:rPr>
          <w:rFonts w:hint="eastAsia" w:ascii="宋体" w:hAnsi="宋体" w:cs="宋体"/>
          <w:bCs/>
          <w:szCs w:val="21"/>
          <w:highlight w:val="none"/>
          <w:u w:val="single"/>
        </w:rPr>
      </w:pPr>
      <w:r>
        <w:rPr>
          <w:rFonts w:hint="eastAsia" w:ascii="宋体" w:hAnsi="宋体" w:cs="宋体"/>
          <w:szCs w:val="21"/>
          <w:highlight w:val="none"/>
          <w:u w:val="single"/>
        </w:rPr>
        <w:t>9</w:t>
      </w:r>
      <w:r>
        <w:rPr>
          <w:rFonts w:hint="eastAsia" w:ascii="宋体" w:hAnsi="宋体" w:cs="宋体"/>
          <w:bCs/>
          <w:szCs w:val="21"/>
          <w:highlight w:val="none"/>
          <w:u w:val="single"/>
        </w:rPr>
        <w:t>.供应商未被列入失信被执行人名单、政府采购严重违法失信行为记录名单网站查询证明材料；</w:t>
      </w:r>
    </w:p>
    <w:p w14:paraId="02E51222">
      <w:pPr>
        <w:spacing w:line="360" w:lineRule="auto"/>
        <w:ind w:firstLine="480"/>
        <w:rPr>
          <w:rFonts w:hint="eastAsia" w:ascii="宋体" w:hAnsi="宋体" w:cs="宋体"/>
          <w:szCs w:val="21"/>
          <w:highlight w:val="none"/>
          <w:u w:val="single"/>
        </w:rPr>
      </w:pPr>
      <w:r>
        <w:rPr>
          <w:rFonts w:hint="eastAsia" w:ascii="宋体" w:hAnsi="宋体" w:cs="宋体"/>
          <w:bCs/>
          <w:szCs w:val="21"/>
          <w:highlight w:val="none"/>
          <w:u w:val="single"/>
        </w:rPr>
        <w:t>10.《中小企业声明函》或《残疾人福利性单位声明函》或监狱和戒毒企业证明材料。</w:t>
      </w:r>
    </w:p>
    <w:p w14:paraId="6486333C">
      <w:pPr>
        <w:spacing w:line="360" w:lineRule="auto"/>
        <w:ind w:firstLine="480"/>
        <w:rPr>
          <w:rFonts w:hint="eastAsia" w:cs="宋体"/>
          <w:highlight w:val="none"/>
          <w:lang w:val="zh-CN" w:eastAsia="zh-CN"/>
        </w:rPr>
      </w:pPr>
      <w:r>
        <w:rPr>
          <w:rFonts w:hint="eastAsia" w:ascii="宋体" w:hAnsi="宋体" w:cs="宋体"/>
          <w:szCs w:val="21"/>
          <w:highlight w:val="none"/>
        </w:rPr>
        <w:t>注：上述1—10中任何一条不符合要求，则资格性审查不通过，按无效响应文件处理</w:t>
      </w:r>
      <w:r>
        <w:rPr>
          <w:rFonts w:hint="eastAsia" w:cs="宋体"/>
          <w:highlight w:val="none"/>
          <w:lang w:val="zh-CN" w:eastAsia="zh-CN"/>
        </w:rPr>
        <w:t>（</w:t>
      </w:r>
      <w:r>
        <w:rPr>
          <w:rFonts w:hint="eastAsia" w:cs="宋体"/>
          <w:highlight w:val="none"/>
          <w:lang w:eastAsia="zh-CN"/>
        </w:rPr>
        <w:t>磋商</w:t>
      </w:r>
      <w:r>
        <w:rPr>
          <w:rFonts w:hint="eastAsia" w:cs="宋体"/>
          <w:highlight w:val="none"/>
          <w:lang w:val="zh-CN" w:eastAsia="zh-CN"/>
        </w:rPr>
        <w:t>文件要求提供的</w:t>
      </w:r>
      <w:r>
        <w:rPr>
          <w:rFonts w:hint="eastAsia" w:cs="宋体"/>
          <w:b/>
          <w:bCs/>
          <w:highlight w:val="none"/>
          <w:lang w:val="zh-CN" w:eastAsia="zh-CN"/>
        </w:rPr>
        <w:t>资格审查证明材料</w:t>
      </w:r>
      <w:r>
        <w:rPr>
          <w:rFonts w:hint="eastAsia" w:cs="宋体"/>
          <w:highlight w:val="none"/>
          <w:lang w:val="zh-CN" w:eastAsia="zh-CN"/>
        </w:rPr>
        <w:t>中没有对应的接口上传的资料，可以在本部分的其他材料的接口中上传）。</w:t>
      </w:r>
    </w:p>
    <w:p w14:paraId="0B68709F">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二、符合性审查文件</w:t>
      </w:r>
    </w:p>
    <w:p w14:paraId="40B545D9">
      <w:pPr>
        <w:spacing w:line="360" w:lineRule="auto"/>
        <w:ind w:firstLine="480"/>
        <w:rPr>
          <w:rFonts w:hint="eastAsia" w:ascii="宋体" w:hAnsi="宋体" w:cs="宋体"/>
          <w:szCs w:val="21"/>
          <w:highlight w:val="none"/>
        </w:rPr>
      </w:pPr>
      <w:r>
        <w:rPr>
          <w:rFonts w:hint="eastAsia" w:ascii="宋体" w:hAnsi="宋体" w:cs="宋体"/>
          <w:szCs w:val="21"/>
          <w:highlight w:val="none"/>
        </w:rPr>
        <w:t>1.竞争性磋商响应函（格式参见第六章）；</w:t>
      </w:r>
    </w:p>
    <w:p w14:paraId="0545779E">
      <w:pPr>
        <w:spacing w:line="360" w:lineRule="auto"/>
        <w:ind w:firstLine="480"/>
        <w:rPr>
          <w:rFonts w:hint="eastAsia" w:ascii="宋体" w:hAnsi="宋体" w:cs="宋体"/>
          <w:szCs w:val="21"/>
          <w:highlight w:val="none"/>
        </w:rPr>
      </w:pPr>
      <w:r>
        <w:rPr>
          <w:rFonts w:hint="eastAsia" w:ascii="宋体" w:hAnsi="宋体" w:cs="宋体"/>
          <w:szCs w:val="21"/>
          <w:highlight w:val="none"/>
        </w:rPr>
        <w:t>2.报价分析表（格式自拟）；</w:t>
      </w:r>
    </w:p>
    <w:p w14:paraId="550A9D72">
      <w:pPr>
        <w:spacing w:line="360" w:lineRule="auto"/>
        <w:ind w:firstLine="480"/>
        <w:rPr>
          <w:rFonts w:hint="eastAsia" w:ascii="宋体" w:hAnsi="宋体" w:cs="宋体"/>
          <w:szCs w:val="21"/>
          <w:highlight w:val="none"/>
        </w:rPr>
      </w:pPr>
      <w:r>
        <w:rPr>
          <w:rFonts w:hint="eastAsia" w:ascii="宋体" w:hAnsi="宋体" w:cs="宋体"/>
          <w:szCs w:val="21"/>
          <w:highlight w:val="none"/>
        </w:rPr>
        <w:t>3.供应商情况表；</w:t>
      </w:r>
    </w:p>
    <w:p w14:paraId="13470F56">
      <w:pPr>
        <w:spacing w:line="360" w:lineRule="auto"/>
        <w:ind w:firstLine="480"/>
        <w:rPr>
          <w:rFonts w:hint="eastAsia" w:ascii="宋体" w:hAnsi="宋体" w:cs="宋体"/>
          <w:szCs w:val="21"/>
          <w:highlight w:val="none"/>
        </w:rPr>
      </w:pPr>
      <w:r>
        <w:rPr>
          <w:rFonts w:hint="eastAsia" w:ascii="宋体" w:hAnsi="宋体" w:cs="宋体"/>
          <w:szCs w:val="21"/>
          <w:highlight w:val="none"/>
        </w:rPr>
        <w:t>4.技术商务条款响应正负偏离表（格式参见第六章）；</w:t>
      </w:r>
    </w:p>
    <w:p w14:paraId="080BDB3D">
      <w:pPr>
        <w:spacing w:line="360" w:lineRule="auto"/>
        <w:ind w:firstLine="480"/>
        <w:rPr>
          <w:rFonts w:hint="eastAsia" w:ascii="宋体" w:hAnsi="宋体" w:cs="宋体"/>
          <w:szCs w:val="21"/>
          <w:highlight w:val="none"/>
        </w:rPr>
      </w:pPr>
      <w:r>
        <w:rPr>
          <w:rFonts w:hint="eastAsia" w:ascii="宋体" w:hAnsi="宋体" w:cs="宋体"/>
          <w:szCs w:val="21"/>
          <w:highlight w:val="none"/>
        </w:rPr>
        <w:t>5.项目组成人员表；</w:t>
      </w:r>
    </w:p>
    <w:p w14:paraId="49E65B52">
      <w:pPr>
        <w:spacing w:line="360" w:lineRule="auto"/>
        <w:ind w:firstLine="480"/>
        <w:rPr>
          <w:rFonts w:hint="eastAsia"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.供应商认为需要提交的其他资料。</w:t>
      </w:r>
    </w:p>
    <w:p w14:paraId="254A406B">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三、商务技术文件</w:t>
      </w:r>
    </w:p>
    <w:p w14:paraId="2C96045E">
      <w:pPr>
        <w:spacing w:line="360" w:lineRule="auto"/>
        <w:ind w:firstLine="480"/>
        <w:rPr>
          <w:rFonts w:hint="eastAsia" w:ascii="宋体" w:hAnsi="宋体" w:cs="宋体"/>
          <w:szCs w:val="21"/>
          <w:highlight w:val="none"/>
        </w:rPr>
      </w:pPr>
      <w:r>
        <w:rPr>
          <w:rFonts w:hint="eastAsia" w:ascii="宋体" w:hAnsi="宋体" w:cs="宋体"/>
          <w:szCs w:val="21"/>
          <w:highlight w:val="none"/>
        </w:rPr>
        <w:t>1.评审办法中所涉及的事项需提供的所有资料；</w:t>
      </w:r>
    </w:p>
    <w:p w14:paraId="1232462B">
      <w:pPr>
        <w:spacing w:line="360" w:lineRule="auto"/>
        <w:ind w:firstLine="480"/>
        <w:rPr>
          <w:rFonts w:hint="eastAsia" w:ascii="宋体" w:hAnsi="宋体" w:cs="宋体"/>
          <w:szCs w:val="21"/>
          <w:highlight w:val="none"/>
        </w:rPr>
      </w:pPr>
      <w:r>
        <w:rPr>
          <w:rFonts w:hint="eastAsia" w:ascii="宋体" w:hAnsi="宋体" w:cs="宋体"/>
          <w:szCs w:val="21"/>
          <w:highlight w:val="none"/>
        </w:rPr>
        <w:t>2.评审办法中未涉及的事项，供应商认为需要提交的其他资料。</w:t>
      </w:r>
    </w:p>
    <w:p w14:paraId="2DBAA60E">
      <w:pPr>
        <w:spacing w:line="360" w:lineRule="auto"/>
        <w:ind w:firstLine="480"/>
        <w:rPr>
          <w:rFonts w:hint="eastAsia" w:ascii="宋体" w:hAnsi="宋体" w:cs="宋体"/>
          <w:bCs/>
          <w:szCs w:val="21"/>
          <w:highlight w:val="none"/>
        </w:rPr>
      </w:pPr>
      <w:r>
        <w:rPr>
          <w:rFonts w:hint="eastAsia" w:ascii="宋体" w:hAnsi="宋体" w:cs="宋体"/>
          <w:szCs w:val="21"/>
          <w:highlight w:val="none"/>
        </w:rPr>
        <w:t>注：为方便评委评审，请供应商按评审办法中所涉及的事项顺序进行编制，可以补充相关材料；</w:t>
      </w:r>
    </w:p>
    <w:p w14:paraId="6C813708">
      <w:pPr>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四、报价响应文件</w:t>
      </w:r>
    </w:p>
    <w:p w14:paraId="342926D7">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1.磋商响应报价表（开标一览表）；</w:t>
      </w:r>
    </w:p>
    <w:p w14:paraId="29C3E68A">
      <w:pPr>
        <w:spacing w:before="100" w:after="100" w:line="360" w:lineRule="auto"/>
        <w:ind w:firstLine="422" w:firstLineChars="200"/>
        <w:rPr>
          <w:rFonts w:hint="eastAsia" w:ascii="宋体" w:hAnsi="宋体" w:cs="宋体"/>
          <w:b/>
          <w:szCs w:val="21"/>
          <w:highlight w:val="none"/>
          <w:u w:val="single"/>
        </w:rPr>
      </w:pPr>
      <w:r>
        <w:rPr>
          <w:rFonts w:hint="eastAsia" w:ascii="宋体" w:hAnsi="宋体" w:cs="宋体"/>
          <w:b/>
          <w:szCs w:val="21"/>
          <w:highlight w:val="none"/>
          <w:u w:val="single"/>
        </w:rPr>
        <w:t>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p>
    <w:p w14:paraId="5B700D34">
      <w:pPr>
        <w:spacing w:before="100" w:after="100" w:line="360" w:lineRule="auto"/>
        <w:rPr>
          <w:rFonts w:hint="eastAsia" w:ascii="宋体" w:hAnsi="宋体" w:cs="宋体"/>
          <w:b/>
          <w:szCs w:val="21"/>
          <w:highlight w:val="none"/>
        </w:rPr>
        <w:sectPr>
          <w:pgSz w:w="11907" w:h="16840"/>
          <w:pgMar w:top="1134" w:right="1134" w:bottom="1134" w:left="1560" w:header="851" w:footer="851" w:gutter="0"/>
          <w:cols w:space="720" w:num="1"/>
          <w:docGrid w:linePitch="312" w:charSpace="0"/>
        </w:sectPr>
      </w:pPr>
    </w:p>
    <w:p w14:paraId="74B77242">
      <w:pPr>
        <w:spacing w:before="100" w:after="100" w:line="360" w:lineRule="auto"/>
        <w:rPr>
          <w:rFonts w:hint="eastAsia" w:ascii="宋体" w:hAnsi="宋体" w:cs="宋体"/>
          <w:b/>
          <w:szCs w:val="21"/>
          <w:highlight w:val="none"/>
        </w:rPr>
      </w:pPr>
      <w:r>
        <w:rPr>
          <w:rFonts w:hint="eastAsia" w:ascii="宋体" w:hAnsi="宋体" w:cs="宋体"/>
          <w:b/>
          <w:szCs w:val="21"/>
          <w:highlight w:val="none"/>
        </w:rPr>
        <w:t>封面</w:t>
      </w:r>
    </w:p>
    <w:p w14:paraId="3CA73D2C">
      <w:pPr>
        <w:spacing w:line="360" w:lineRule="auto"/>
        <w:jc w:val="center"/>
        <w:rPr>
          <w:rFonts w:ascii="Microsoft New Tai Lue" w:hAnsi="Microsoft New Tai Lue" w:cs="Microsoft New Tai Lue"/>
          <w:b/>
          <w:sz w:val="72"/>
          <w:szCs w:val="84"/>
          <w:highlight w:val="none"/>
        </w:rPr>
      </w:pPr>
    </w:p>
    <w:p w14:paraId="76E289BD">
      <w:pPr>
        <w:spacing w:line="360" w:lineRule="auto"/>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“中国医药城大健康产业论坛”策划执行服务项目</w:t>
      </w:r>
    </w:p>
    <w:p w14:paraId="6BCAFFCF">
      <w:pPr>
        <w:pStyle w:val="19"/>
        <w:ind w:firstLine="643"/>
        <w:rPr>
          <w:rFonts w:hint="eastAsia" w:ascii="新宋体" w:hAnsi="新宋体" w:eastAsia="新宋体"/>
          <w:b/>
          <w:bCs/>
          <w:sz w:val="32"/>
          <w:szCs w:val="32"/>
          <w:highlight w:val="none"/>
        </w:rPr>
      </w:pPr>
    </w:p>
    <w:p w14:paraId="65C4949E">
      <w:pPr>
        <w:pStyle w:val="19"/>
        <w:ind w:firstLine="643"/>
        <w:rPr>
          <w:rFonts w:hint="eastAsia" w:ascii="新宋体" w:hAnsi="新宋体" w:eastAsia="新宋体"/>
          <w:b/>
          <w:bCs/>
          <w:sz w:val="32"/>
          <w:szCs w:val="32"/>
          <w:highlight w:val="none"/>
        </w:rPr>
      </w:pPr>
    </w:p>
    <w:p w14:paraId="41866B4F">
      <w:pPr>
        <w:pStyle w:val="33"/>
        <w:spacing w:line="360" w:lineRule="auto"/>
        <w:rPr>
          <w:highlight w:val="none"/>
        </w:rPr>
      </w:pPr>
    </w:p>
    <w:p w14:paraId="5CCF7D7B">
      <w:pPr>
        <w:pStyle w:val="12"/>
        <w:spacing w:line="360" w:lineRule="auto"/>
        <w:jc w:val="center"/>
        <w:rPr>
          <w:rFonts w:ascii="Microsoft New Tai Lue" w:hAnsi="Microsoft New Tai Lue" w:cs="Microsoft New Tai Lue"/>
          <w:b/>
          <w:sz w:val="84"/>
          <w:szCs w:val="84"/>
          <w:highlight w:val="none"/>
        </w:rPr>
      </w:pPr>
      <w:bookmarkStart w:id="102" w:name="_Toc100905255"/>
      <w:r>
        <w:rPr>
          <w:rFonts w:hint="eastAsia" w:ascii="Microsoft New Tai Lue" w:hAnsi="Microsoft New Tai Lue" w:cs="Microsoft New Tai Lue"/>
          <w:b/>
          <w:sz w:val="84"/>
          <w:szCs w:val="84"/>
          <w:highlight w:val="none"/>
        </w:rPr>
        <w:t>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102"/>
    </w:p>
    <w:p w14:paraId="1F0DB1F9">
      <w:pPr>
        <w:spacing w:line="360" w:lineRule="auto"/>
        <w:ind w:right="640"/>
        <w:jc w:val="center"/>
        <w:rPr>
          <w:rFonts w:ascii="Microsoft New Tai Lue" w:hAnsi="Microsoft New Tai Lue" w:cs="Microsoft New Tai Lue"/>
          <w:b/>
          <w:sz w:val="44"/>
          <w:szCs w:val="44"/>
          <w:highlight w:val="none"/>
        </w:rPr>
      </w:pPr>
    </w:p>
    <w:p w14:paraId="6B717293">
      <w:pPr>
        <w:spacing w:line="360" w:lineRule="auto"/>
        <w:ind w:right="640" w:firstLine="2209" w:firstLineChars="500"/>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项目编号：</w:t>
      </w:r>
    </w:p>
    <w:p w14:paraId="7A45586D">
      <w:pPr>
        <w:pStyle w:val="12"/>
        <w:spacing w:line="360" w:lineRule="auto"/>
        <w:rPr>
          <w:rFonts w:ascii="Microsoft New Tai Lue" w:hAnsi="Microsoft New Tai Lue" w:cs="Microsoft New Tai Lue"/>
          <w:sz w:val="28"/>
          <w:szCs w:val="28"/>
          <w:highlight w:val="none"/>
        </w:rPr>
      </w:pPr>
    </w:p>
    <w:p w14:paraId="515E4482">
      <w:pPr>
        <w:pStyle w:val="12"/>
        <w:spacing w:line="360" w:lineRule="auto"/>
        <w:rPr>
          <w:rFonts w:ascii="Microsoft New Tai Lue" w:hAnsi="Microsoft New Tai Lue" w:cs="Microsoft New Tai Lue"/>
          <w:sz w:val="28"/>
          <w:szCs w:val="28"/>
          <w:highlight w:val="none"/>
        </w:rPr>
      </w:pPr>
    </w:p>
    <w:p w14:paraId="28771342">
      <w:pPr>
        <w:pStyle w:val="12"/>
        <w:spacing w:line="360" w:lineRule="auto"/>
        <w:rPr>
          <w:rFonts w:ascii="Microsoft New Tai Lue" w:hAnsi="Microsoft New Tai Lue" w:cs="Microsoft New Tai Lue"/>
          <w:sz w:val="28"/>
          <w:szCs w:val="28"/>
          <w:highlight w:val="none"/>
        </w:rPr>
      </w:pPr>
    </w:p>
    <w:p w14:paraId="7B2A9142">
      <w:pPr>
        <w:pStyle w:val="12"/>
        <w:spacing w:line="360" w:lineRule="auto"/>
        <w:rPr>
          <w:rFonts w:ascii="Microsoft New Tai Lue" w:hAnsi="Microsoft New Tai Lue" w:cs="Microsoft New Tai Lue"/>
          <w:sz w:val="28"/>
          <w:szCs w:val="28"/>
          <w:highlight w:val="none"/>
        </w:rPr>
      </w:pPr>
    </w:p>
    <w:p w14:paraId="2B13795A">
      <w:pPr>
        <w:pStyle w:val="12"/>
        <w:spacing w:line="360" w:lineRule="auto"/>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投标人名称：</w:t>
      </w:r>
      <w:r>
        <w:rPr>
          <w:rFonts w:ascii="Microsoft New Tai Lue" w:hAnsi="Microsoft New Tai Lue" w:cs="Microsoft New Tai Lue"/>
          <w:b/>
          <w:sz w:val="32"/>
          <w:szCs w:val="32"/>
          <w:highlight w:val="none"/>
        </w:rPr>
        <w:t>_____________________</w:t>
      </w:r>
    </w:p>
    <w:p w14:paraId="25234C96">
      <w:pPr>
        <w:pStyle w:val="12"/>
        <w:spacing w:line="360" w:lineRule="auto"/>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地址：_____________________</w:t>
      </w:r>
    </w:p>
    <w:p w14:paraId="563DD6A1">
      <w:pPr>
        <w:spacing w:line="360" w:lineRule="auto"/>
        <w:jc w:val="center"/>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二〇二五</w:t>
      </w:r>
      <w:r>
        <w:rPr>
          <w:rFonts w:ascii="Microsoft New Tai Lue" w:hAnsi="Microsoft New Tai Lue" w:cs="Microsoft New Tai Lue"/>
          <w:b/>
          <w:sz w:val="32"/>
          <w:highlight w:val="none"/>
        </w:rPr>
        <w:t>年  月  日</w:t>
      </w:r>
    </w:p>
    <w:p w14:paraId="1D5FCAE9">
      <w:pPr>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r>
      <w:bookmarkEnd w:id="98"/>
      <w:bookmarkEnd w:id="99"/>
      <w:bookmarkEnd w:id="100"/>
      <w:bookmarkStart w:id="103" w:name="_Toc456102122"/>
      <w:bookmarkStart w:id="104" w:name="_Toc456102499"/>
      <w:bookmarkStart w:id="105" w:name="_Toc337816640"/>
      <w:bookmarkStart w:id="106" w:name="_Toc456102676"/>
    </w:p>
    <w:p w14:paraId="7EF8201C">
      <w:pPr>
        <w:spacing w:line="360" w:lineRule="auto"/>
        <w:rPr>
          <w:rFonts w:hint="eastAsia" w:ascii="宋体" w:hAnsi="宋体"/>
          <w:b/>
          <w:bCs/>
          <w:szCs w:val="21"/>
          <w:highlight w:val="none"/>
        </w:rPr>
      </w:pPr>
      <w:r>
        <w:rPr>
          <w:rFonts w:hint="eastAsia" w:ascii="宋体" w:hAnsi="宋体"/>
          <w:b/>
          <w:bCs/>
          <w:szCs w:val="21"/>
          <w:highlight w:val="none"/>
        </w:rPr>
        <w:t>附件：</w:t>
      </w:r>
    </w:p>
    <w:p w14:paraId="0FF4DFB7">
      <w:pPr>
        <w:spacing w:line="360" w:lineRule="auto"/>
        <w:jc w:val="center"/>
        <w:outlineLvl w:val="4"/>
        <w:rPr>
          <w:rFonts w:hint="eastAsia" w:ascii="宋体" w:hAnsi="宋体" w:cs="宋体"/>
          <w:b/>
          <w:bCs/>
          <w:szCs w:val="21"/>
          <w:highlight w:val="none"/>
        </w:rPr>
      </w:pPr>
      <w:r>
        <w:rPr>
          <w:rFonts w:hint="eastAsia" w:ascii="宋体" w:hAnsi="宋体" w:cs="宋体"/>
          <w:b/>
          <w:bCs/>
          <w:szCs w:val="21"/>
          <w:highlight w:val="none"/>
        </w:rPr>
        <w:t>1.法定代表人身份证明</w:t>
      </w:r>
    </w:p>
    <w:p w14:paraId="4037279A">
      <w:pPr>
        <w:spacing w:line="360" w:lineRule="auto"/>
        <w:ind w:firstLine="480"/>
        <w:rPr>
          <w:rFonts w:hint="eastAsia" w:ascii="宋体" w:hAnsi="宋体" w:cs="宋体"/>
          <w:szCs w:val="21"/>
          <w:highlight w:val="none"/>
        </w:rPr>
      </w:pPr>
      <w:r>
        <w:rPr>
          <w:rFonts w:hint="eastAsia" w:ascii="宋体" w:hAnsi="宋体" w:cs="宋体"/>
          <w:szCs w:val="21"/>
          <w:highlight w:val="none"/>
        </w:rPr>
        <w:t>单位名称：</w:t>
      </w:r>
      <w:r>
        <w:rPr>
          <w:rFonts w:hint="eastAsia" w:ascii="宋体" w:hAnsi="宋体" w:cs="宋体"/>
          <w:szCs w:val="21"/>
          <w:highlight w:val="none"/>
          <w:u w:val="single"/>
        </w:rPr>
        <w:t xml:space="preserve">                                         </w:t>
      </w:r>
    </w:p>
    <w:p w14:paraId="1EF71AA9">
      <w:pPr>
        <w:spacing w:line="360" w:lineRule="auto"/>
        <w:ind w:firstLine="480"/>
        <w:rPr>
          <w:rFonts w:hint="eastAsia"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08C68576">
      <w:pPr>
        <w:spacing w:line="360" w:lineRule="auto"/>
        <w:ind w:firstLine="480"/>
        <w:rPr>
          <w:rFonts w:hint="eastAsia"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p>
    <w:p w14:paraId="42FABEF5">
      <w:pPr>
        <w:spacing w:line="360" w:lineRule="auto"/>
        <w:ind w:firstLine="480"/>
        <w:rPr>
          <w:rFonts w:hint="eastAsia"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87C9499">
      <w:pPr>
        <w:spacing w:line="360" w:lineRule="auto"/>
        <w:ind w:firstLine="480"/>
        <w:rPr>
          <w:rFonts w:hint="eastAsia"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4E5D7205">
      <w:pPr>
        <w:spacing w:line="360" w:lineRule="auto"/>
        <w:ind w:firstLine="480"/>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szCs w:val="21"/>
          <w:highlight w:val="none"/>
        </w:rPr>
        <w:t>手机（必填）：</w:t>
      </w:r>
      <w:r>
        <w:rPr>
          <w:rFonts w:hint="eastAsia" w:ascii="宋体" w:hAnsi="宋体" w:cs="宋体"/>
          <w:szCs w:val="21"/>
          <w:highlight w:val="none"/>
          <w:u w:val="single"/>
        </w:rPr>
        <w:t xml:space="preserve">                   </w:t>
      </w:r>
      <w:r>
        <w:rPr>
          <w:rFonts w:hint="eastAsia" w:ascii="宋体" w:hAnsi="宋体" w:cs="宋体"/>
          <w:szCs w:val="21"/>
          <w:highlight w:val="none"/>
        </w:rPr>
        <w:t>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的法定代表人。</w:t>
      </w:r>
    </w:p>
    <w:p w14:paraId="71EC0BBF">
      <w:pPr>
        <w:spacing w:line="360" w:lineRule="auto"/>
        <w:ind w:firstLine="480"/>
        <w:rPr>
          <w:rFonts w:hint="eastAsia" w:ascii="宋体" w:hAnsi="宋体" w:cs="宋体"/>
          <w:szCs w:val="21"/>
          <w:highlight w:val="none"/>
        </w:rPr>
      </w:pPr>
      <w:r>
        <w:rPr>
          <w:rFonts w:hint="eastAsia" w:ascii="宋体" w:hAnsi="宋体" w:cs="宋体"/>
          <w:szCs w:val="21"/>
          <w:highlight w:val="none"/>
        </w:rPr>
        <w:t>特此证明</w:t>
      </w:r>
    </w:p>
    <w:p w14:paraId="078B87BD">
      <w:pPr>
        <w:spacing w:line="360" w:lineRule="auto"/>
        <w:ind w:firstLine="480"/>
        <w:rPr>
          <w:rFonts w:hint="eastAsia" w:ascii="宋体" w:hAnsi="宋体" w:cs="宋体"/>
          <w:szCs w:val="21"/>
          <w:highlight w:val="none"/>
        </w:rPr>
      </w:pPr>
      <w:r>
        <w:rPr>
          <w:rFonts w:hint="eastAsia" w:ascii="宋体" w:hAnsi="宋体" w:cs="宋体"/>
          <w:szCs w:val="21"/>
          <w:highlight w:val="none"/>
        </w:rPr>
        <w:t>磋商响应人（盖法人章）：</w:t>
      </w:r>
      <w:r>
        <w:rPr>
          <w:rFonts w:hint="eastAsia" w:ascii="宋体" w:hAnsi="宋体" w:cs="宋体"/>
          <w:szCs w:val="21"/>
          <w:highlight w:val="none"/>
          <w:u w:val="single"/>
        </w:rPr>
        <w:t xml:space="preserve">                   </w:t>
      </w:r>
    </w:p>
    <w:p w14:paraId="0EE32020">
      <w:pPr>
        <w:spacing w:line="360" w:lineRule="auto"/>
        <w:ind w:firstLine="480"/>
        <w:rPr>
          <w:rFonts w:hint="eastAsia" w:ascii="宋体" w:hAnsi="宋体" w:cs="宋体"/>
          <w:szCs w:val="21"/>
          <w:highlight w:val="none"/>
        </w:rPr>
      </w:pPr>
      <w:r>
        <w:rPr>
          <w:rFonts w:hint="eastAsia" w:ascii="宋体" w:hAnsi="宋体" w:cs="宋体"/>
          <w:szCs w:val="21"/>
          <w:highlight w:val="none"/>
        </w:rPr>
        <w:t>日   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3A542386">
      <w:pPr>
        <w:spacing w:line="360" w:lineRule="auto"/>
        <w:ind w:firstLine="480"/>
        <w:rPr>
          <w:rFonts w:hint="eastAsia" w:ascii="宋体" w:hAnsi="宋体" w:cs="宋体"/>
          <w:szCs w:val="21"/>
          <w:highlight w:val="none"/>
        </w:rPr>
      </w:pPr>
    </w:p>
    <w:p w14:paraId="48E3927D">
      <w:pPr>
        <w:spacing w:line="360" w:lineRule="auto"/>
        <w:rPr>
          <w:rFonts w:hint="eastAsia" w:ascii="宋体" w:hAnsi="宋体" w:cs="宋体"/>
          <w:szCs w:val="21"/>
          <w:highlight w:val="none"/>
        </w:rPr>
      </w:pPr>
      <w:r>
        <w:rPr>
          <w:rFonts w:hint="eastAsia" w:ascii="宋体" w:hAnsi="宋体" w:cs="宋体"/>
          <w:szCs w:val="21"/>
          <w:highlight w:val="none"/>
        </w:rPr>
        <w:t>法定代表人（单位负责人）有效期内的身份证复印件（正反面）</w:t>
      </w:r>
    </w:p>
    <w:tbl>
      <w:tblPr>
        <w:tblStyle w:val="2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1151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5D7791D6">
            <w:pPr>
              <w:pStyle w:val="8"/>
              <w:spacing w:line="360" w:lineRule="auto"/>
              <w:jc w:val="center"/>
              <w:rPr>
                <w:i/>
                <w:sz w:val="20"/>
                <w:highlight w:val="none"/>
              </w:rPr>
            </w:pPr>
            <w:r>
              <w:rPr>
                <w:i/>
                <w:sz w:val="24"/>
                <w:highlight w:val="none"/>
              </w:rPr>
              <w:t>身份证正面</w:t>
            </w:r>
          </w:p>
        </w:tc>
        <w:tc>
          <w:tcPr>
            <w:tcW w:w="284" w:type="dxa"/>
            <w:tcBorders>
              <w:top w:val="nil"/>
              <w:bottom w:val="nil"/>
            </w:tcBorders>
          </w:tcPr>
          <w:p w14:paraId="4F22A312">
            <w:pPr>
              <w:widowControl/>
              <w:spacing w:line="360" w:lineRule="auto"/>
              <w:jc w:val="left"/>
              <w:rPr>
                <w:sz w:val="20"/>
                <w:highlight w:val="none"/>
              </w:rPr>
            </w:pPr>
          </w:p>
        </w:tc>
        <w:tc>
          <w:tcPr>
            <w:tcW w:w="4677" w:type="dxa"/>
            <w:vAlign w:val="center"/>
          </w:tcPr>
          <w:p w14:paraId="7ED6CBB1">
            <w:pPr>
              <w:widowControl/>
              <w:spacing w:line="360" w:lineRule="auto"/>
              <w:jc w:val="center"/>
              <w:rPr>
                <w:sz w:val="20"/>
                <w:highlight w:val="none"/>
              </w:rPr>
            </w:pPr>
            <w:r>
              <w:rPr>
                <w:i/>
                <w:sz w:val="24"/>
                <w:highlight w:val="none"/>
              </w:rPr>
              <w:t>身份证反面</w:t>
            </w:r>
          </w:p>
        </w:tc>
      </w:tr>
    </w:tbl>
    <w:p w14:paraId="75997AF8">
      <w:pPr>
        <w:pStyle w:val="7"/>
        <w:spacing w:line="360" w:lineRule="auto"/>
        <w:rPr>
          <w:highlight w:val="none"/>
        </w:rPr>
      </w:pPr>
    </w:p>
    <w:p w14:paraId="1C0F7AE0">
      <w:pPr>
        <w:pStyle w:val="6"/>
        <w:spacing w:before="0" w:after="0" w:line="360" w:lineRule="auto"/>
        <w:ind w:firstLine="422" w:firstLineChars="200"/>
        <w:rPr>
          <w:rFonts w:hint="eastAsia" w:ascii="宋体" w:hAnsi="宋体" w:eastAsia="宋体"/>
          <w:sz w:val="21"/>
          <w:szCs w:val="21"/>
          <w:highlight w:val="none"/>
        </w:rPr>
        <w:sectPr>
          <w:footerReference r:id="rId10" w:type="default"/>
          <w:pgSz w:w="11907" w:h="16840"/>
          <w:pgMar w:top="1134" w:right="1134" w:bottom="1134" w:left="1560" w:header="851" w:footer="851" w:gutter="0"/>
          <w:cols w:space="720" w:num="1"/>
          <w:docGrid w:linePitch="312" w:charSpace="0"/>
        </w:sectPr>
      </w:pPr>
    </w:p>
    <w:p w14:paraId="18E9A3BE">
      <w:pPr>
        <w:pStyle w:val="6"/>
        <w:spacing w:before="0" w:after="0" w:line="360" w:lineRule="auto"/>
        <w:ind w:firstLine="422" w:firstLineChars="200"/>
        <w:rPr>
          <w:rFonts w:hint="eastAsia" w:ascii="宋体" w:hAnsi="宋体" w:eastAsia="宋体"/>
          <w:sz w:val="21"/>
          <w:szCs w:val="21"/>
          <w:highlight w:val="none"/>
        </w:rPr>
      </w:pPr>
      <w:r>
        <w:rPr>
          <w:rFonts w:hint="eastAsia" w:ascii="宋体" w:hAnsi="宋体" w:eastAsia="宋体"/>
          <w:sz w:val="21"/>
          <w:szCs w:val="21"/>
          <w:highlight w:val="none"/>
        </w:rPr>
        <w:t>2.法定代表人授权书</w:t>
      </w:r>
    </w:p>
    <w:p w14:paraId="563B649F">
      <w:pPr>
        <w:pStyle w:val="34"/>
        <w:spacing w:line="360" w:lineRule="auto"/>
        <w:ind w:firstLine="422" w:firstLineChars="200"/>
        <w:jc w:val="center"/>
        <w:rPr>
          <w:rFonts w:hint="eastAsia" w:ascii="宋体" w:hAnsi="宋体"/>
          <w:b/>
          <w:sz w:val="21"/>
          <w:szCs w:val="21"/>
          <w:highlight w:val="none"/>
        </w:rPr>
      </w:pPr>
    </w:p>
    <w:p w14:paraId="3F90153B">
      <w:pPr>
        <w:pStyle w:val="34"/>
        <w:spacing w:line="360" w:lineRule="auto"/>
        <w:ind w:left="420" w:leftChars="200"/>
        <w:rPr>
          <w:rFonts w:hint="eastAsia" w:ascii="宋体" w:hAnsi="宋体"/>
          <w:sz w:val="21"/>
          <w:szCs w:val="21"/>
          <w:highlight w:val="none"/>
        </w:rPr>
      </w:pPr>
      <w:r>
        <w:rPr>
          <w:rFonts w:hint="eastAsia" w:ascii="宋体" w:hAnsi="宋体"/>
          <w:sz w:val="21"/>
          <w:szCs w:val="21"/>
          <w:highlight w:val="none"/>
        </w:rPr>
        <w:t>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授权</w:t>
      </w:r>
      <w:r>
        <w:rPr>
          <w:rFonts w:hint="eastAsia" w:ascii="宋体" w:hAnsi="宋体"/>
          <w:sz w:val="21"/>
          <w:szCs w:val="21"/>
          <w:highlight w:val="none"/>
          <w:u w:val="single"/>
        </w:rPr>
        <w:t xml:space="preserve">              </w:t>
      </w:r>
      <w:r>
        <w:rPr>
          <w:rFonts w:hint="eastAsia" w:ascii="宋体" w:hAnsi="宋体"/>
          <w:sz w:val="21"/>
          <w:szCs w:val="21"/>
          <w:highlight w:val="none"/>
        </w:rPr>
        <w:t>（被授权人的姓名）为我方就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项目采购活动的合法代理人，以本公司名义全权处理一切与该项目采购有关的事务</w:t>
      </w:r>
      <w:r>
        <w:rPr>
          <w:rFonts w:hint="eastAsia"/>
          <w:sz w:val="21"/>
          <w:szCs w:val="21"/>
          <w:highlight w:val="none"/>
        </w:rPr>
        <w:t>，其后果由我单位承担。</w:t>
      </w:r>
    </w:p>
    <w:p w14:paraId="158B60BD">
      <w:pPr>
        <w:spacing w:line="360" w:lineRule="auto"/>
        <w:ind w:firstLine="420" w:firstLineChars="20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代理人无转委托权，特此委托。</w:t>
      </w:r>
    </w:p>
    <w:p w14:paraId="1F0AE025">
      <w:pPr>
        <w:pStyle w:val="34"/>
        <w:spacing w:line="360" w:lineRule="auto"/>
        <w:ind w:firstLine="420" w:firstLineChars="200"/>
        <w:rPr>
          <w:sz w:val="21"/>
          <w:szCs w:val="21"/>
          <w:highlight w:val="none"/>
        </w:rPr>
      </w:pPr>
      <w:r>
        <w:rPr>
          <w:rFonts w:hint="eastAsia"/>
          <w:sz w:val="21"/>
          <w:szCs w:val="21"/>
          <w:highlight w:val="none"/>
        </w:rPr>
        <w:t>委托期限：自本授权委托书签署之日起至投标有效期届满之日止。</w:t>
      </w:r>
    </w:p>
    <w:p w14:paraId="7F45A8BB">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法定代表人：（签字或盖章）_______________________</w:t>
      </w:r>
    </w:p>
    <w:p w14:paraId="2E66FE1A">
      <w:pPr>
        <w:pStyle w:val="34"/>
        <w:spacing w:line="360" w:lineRule="auto"/>
        <w:ind w:firstLine="420" w:firstLineChars="200"/>
        <w:rPr>
          <w:rFonts w:hint="eastAsia" w:ascii="宋体" w:hAnsi="宋体"/>
          <w:sz w:val="21"/>
          <w:szCs w:val="21"/>
          <w:highlight w:val="none"/>
        </w:rPr>
      </w:pPr>
    </w:p>
    <w:p w14:paraId="402F0223">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授权单位名称（盖章）：_________________________________</w:t>
      </w:r>
    </w:p>
    <w:p w14:paraId="6671D89F">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地址：_____________________________________</w:t>
      </w:r>
    </w:p>
    <w:p w14:paraId="389038C8">
      <w:pPr>
        <w:pStyle w:val="34"/>
        <w:spacing w:line="360" w:lineRule="auto"/>
        <w:ind w:firstLine="420" w:firstLineChars="200"/>
        <w:rPr>
          <w:highlight w:val="none"/>
        </w:rPr>
      </w:pPr>
      <w:r>
        <w:rPr>
          <w:rFonts w:hint="eastAsia" w:ascii="宋体" w:hAnsi="宋体"/>
          <w:sz w:val="21"/>
          <w:szCs w:val="21"/>
          <w:highlight w:val="none"/>
        </w:rPr>
        <w:t>日期：</w:t>
      </w:r>
      <w:bookmarkStart w:id="107" w:name="_格式3__银行出具的资信证明"/>
      <w:bookmarkEnd w:id="107"/>
      <w:bookmarkStart w:id="108" w:name="_Hlt26671380"/>
      <w:bookmarkEnd w:id="108"/>
      <w:bookmarkStart w:id="109" w:name="_Hlt26955070"/>
      <w:bookmarkEnd w:id="109"/>
      <w:r>
        <w:rPr>
          <w:rFonts w:hint="eastAsia" w:ascii="宋体" w:hAnsi="宋体"/>
          <w:sz w:val="21"/>
          <w:szCs w:val="21"/>
          <w:highlight w:val="none"/>
        </w:rPr>
        <w:t xml:space="preserve">     年  月  日</w:t>
      </w:r>
    </w:p>
    <w:p w14:paraId="0FDF3583">
      <w:pPr>
        <w:spacing w:line="360" w:lineRule="auto"/>
        <w:rPr>
          <w:szCs w:val="21"/>
          <w:highlight w:val="none"/>
        </w:rPr>
      </w:pPr>
    </w:p>
    <w:p w14:paraId="0114A8CD">
      <w:pPr>
        <w:spacing w:line="360" w:lineRule="auto"/>
        <w:rPr>
          <w:rFonts w:ascii="Microsoft New Tai Lue" w:hAnsi="Microsoft New Tai Lue" w:cs="Microsoft New Tai Lue"/>
          <w:highlight w:val="none"/>
        </w:rPr>
      </w:pPr>
      <w:r>
        <w:rPr>
          <w:rFonts w:hint="eastAsia"/>
          <w:szCs w:val="21"/>
          <w:highlight w:val="none"/>
        </w:rPr>
        <w:t>附：</w:t>
      </w:r>
      <w:r>
        <w:rPr>
          <w:szCs w:val="21"/>
          <w:highlight w:val="none"/>
        </w:rPr>
        <w:t>授权代表</w:t>
      </w:r>
      <w:r>
        <w:rPr>
          <w:rFonts w:hint="eastAsia"/>
          <w:szCs w:val="21"/>
          <w:highlight w:val="none"/>
        </w:rPr>
        <w:t>有效期内的身份证复印件</w:t>
      </w:r>
      <w:r>
        <w:rPr>
          <w:rFonts w:ascii="Microsoft New Tai Lue" w:hAnsi="Microsoft New Tai Lue" w:cs="Microsoft New Tai Lue"/>
          <w:highlight w:val="none"/>
        </w:rPr>
        <w:t>（正反面）</w:t>
      </w:r>
    </w:p>
    <w:tbl>
      <w:tblPr>
        <w:tblStyle w:val="2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27EF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109C7B85">
            <w:pPr>
              <w:pStyle w:val="8"/>
              <w:spacing w:line="360" w:lineRule="auto"/>
              <w:jc w:val="center"/>
              <w:rPr>
                <w:i/>
                <w:sz w:val="20"/>
                <w:highlight w:val="none"/>
              </w:rPr>
            </w:pPr>
            <w:r>
              <w:rPr>
                <w:i/>
                <w:sz w:val="24"/>
                <w:highlight w:val="none"/>
              </w:rPr>
              <w:t>身份证正面</w:t>
            </w:r>
          </w:p>
        </w:tc>
        <w:tc>
          <w:tcPr>
            <w:tcW w:w="278" w:type="dxa"/>
            <w:tcBorders>
              <w:top w:val="nil"/>
              <w:bottom w:val="nil"/>
            </w:tcBorders>
          </w:tcPr>
          <w:p w14:paraId="5E3B55E3">
            <w:pPr>
              <w:widowControl/>
              <w:spacing w:line="360" w:lineRule="auto"/>
              <w:jc w:val="left"/>
              <w:rPr>
                <w:sz w:val="20"/>
                <w:highlight w:val="none"/>
              </w:rPr>
            </w:pPr>
          </w:p>
        </w:tc>
        <w:tc>
          <w:tcPr>
            <w:tcW w:w="4695" w:type="dxa"/>
            <w:vAlign w:val="center"/>
          </w:tcPr>
          <w:p w14:paraId="255AD021">
            <w:pPr>
              <w:widowControl/>
              <w:spacing w:line="360" w:lineRule="auto"/>
              <w:jc w:val="center"/>
              <w:rPr>
                <w:sz w:val="20"/>
                <w:highlight w:val="none"/>
              </w:rPr>
            </w:pPr>
            <w:r>
              <w:rPr>
                <w:i/>
                <w:sz w:val="24"/>
                <w:highlight w:val="none"/>
              </w:rPr>
              <w:t>身份证反面</w:t>
            </w:r>
          </w:p>
        </w:tc>
      </w:tr>
    </w:tbl>
    <w:p w14:paraId="1F41C3A3">
      <w:pPr>
        <w:pStyle w:val="16"/>
        <w:spacing w:line="360" w:lineRule="auto"/>
        <w:rPr>
          <w:rFonts w:ascii="Times New Roman" w:hAnsi="Times New Roman"/>
          <w:b/>
          <w:bCs/>
          <w:szCs w:val="21"/>
          <w:highlight w:val="none"/>
        </w:rPr>
      </w:pPr>
      <w:r>
        <w:rPr>
          <w:rFonts w:ascii="Times New Roman" w:hAnsi="Times New Roman"/>
          <w:b/>
          <w:bCs/>
          <w:szCs w:val="21"/>
          <w:highlight w:val="none"/>
        </w:rPr>
        <w:t>注：</w:t>
      </w:r>
    </w:p>
    <w:p w14:paraId="38FB08B3">
      <w:pPr>
        <w:pStyle w:val="16"/>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1.若供应商为分公司、分支机构等依法无须设置法定代表人职务的单位（仅当招标文件注明允许上述单位投标时），法定代表人签字处可由单位负责人签署。</w:t>
      </w:r>
    </w:p>
    <w:p w14:paraId="1189959E">
      <w:pPr>
        <w:pStyle w:val="16"/>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2.若响应文件中签字之处均为法定代表人（单位负责人）本人签署，则可不提供本《授权委托书》，但须提供《法定代表人（单位负责人）身份证明》。</w:t>
      </w:r>
    </w:p>
    <w:p w14:paraId="663D9906">
      <w:pPr>
        <w:pStyle w:val="7"/>
        <w:spacing w:line="360" w:lineRule="auto"/>
        <w:rPr>
          <w:highlight w:val="none"/>
        </w:rPr>
      </w:pPr>
    </w:p>
    <w:p w14:paraId="64247815">
      <w:pPr>
        <w:pStyle w:val="6"/>
        <w:spacing w:line="360" w:lineRule="auto"/>
        <w:jc w:val="both"/>
        <w:rPr>
          <w:rFonts w:hint="eastAsia" w:ascii="宋体" w:hAnsi="宋体" w:eastAsia="宋体"/>
          <w:sz w:val="21"/>
          <w:szCs w:val="21"/>
          <w:highlight w:val="none"/>
        </w:rPr>
        <w:sectPr>
          <w:pgSz w:w="11907" w:h="16840"/>
          <w:pgMar w:top="1134" w:right="1134" w:bottom="1134" w:left="1560" w:header="851" w:footer="851" w:gutter="0"/>
          <w:cols w:space="720" w:num="1"/>
          <w:docGrid w:linePitch="312" w:charSpace="0"/>
        </w:sectPr>
      </w:pPr>
    </w:p>
    <w:p w14:paraId="661FB5F6">
      <w:pPr>
        <w:pStyle w:val="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3.供应商资格声明书 </w:t>
      </w:r>
    </w:p>
    <w:p w14:paraId="699493A1">
      <w:pPr>
        <w:tabs>
          <w:tab w:val="left" w:pos="5580"/>
        </w:tabs>
        <w:spacing w:line="360" w:lineRule="auto"/>
        <w:rPr>
          <w:szCs w:val="21"/>
          <w:highlight w:val="none"/>
        </w:rPr>
      </w:pPr>
      <w:r>
        <w:rPr>
          <w:rFonts w:hint="eastAsia"/>
          <w:szCs w:val="21"/>
          <w:highlight w:val="none"/>
        </w:rPr>
        <w:t>致：</w:t>
      </w:r>
      <w:r>
        <w:rPr>
          <w:rFonts w:hint="eastAsia"/>
          <w:szCs w:val="21"/>
          <w:highlight w:val="none"/>
          <w:u w:val="single"/>
        </w:rPr>
        <w:t>采购人</w:t>
      </w:r>
    </w:p>
    <w:p w14:paraId="03F06B99">
      <w:pPr>
        <w:spacing w:line="360" w:lineRule="auto"/>
        <w:ind w:firstLine="420" w:firstLineChars="200"/>
        <w:rPr>
          <w:szCs w:val="21"/>
          <w:highlight w:val="none"/>
        </w:rPr>
      </w:pPr>
      <w:r>
        <w:rPr>
          <w:rFonts w:hint="eastAsia"/>
          <w:szCs w:val="21"/>
          <w:highlight w:val="none"/>
        </w:rPr>
        <w:t>在参与本次项目响应中，我单位承诺：</w:t>
      </w:r>
    </w:p>
    <w:p w14:paraId="395C7378">
      <w:pPr>
        <w:numPr>
          <w:ilvl w:val="0"/>
          <w:numId w:val="4"/>
        </w:numPr>
        <w:autoSpaceDE w:val="0"/>
        <w:autoSpaceDN w:val="0"/>
        <w:spacing w:line="360" w:lineRule="auto"/>
        <w:ind w:left="1134"/>
        <w:jc w:val="left"/>
        <w:rPr>
          <w:szCs w:val="21"/>
          <w:highlight w:val="none"/>
        </w:rPr>
      </w:pPr>
      <w:r>
        <w:rPr>
          <w:rFonts w:hint="eastAsia"/>
          <w:szCs w:val="21"/>
          <w:highlight w:val="none"/>
        </w:rPr>
        <w:t>具有良好的商业信誉和健全的财务会计制度；</w:t>
      </w:r>
    </w:p>
    <w:p w14:paraId="2AC6A6D9">
      <w:pPr>
        <w:numPr>
          <w:ilvl w:val="0"/>
          <w:numId w:val="4"/>
        </w:numPr>
        <w:autoSpaceDE w:val="0"/>
        <w:autoSpaceDN w:val="0"/>
        <w:spacing w:line="360" w:lineRule="auto"/>
        <w:ind w:left="1134"/>
        <w:jc w:val="left"/>
        <w:rPr>
          <w:szCs w:val="21"/>
          <w:highlight w:val="none"/>
        </w:rPr>
      </w:pPr>
      <w:r>
        <w:rPr>
          <w:rFonts w:hint="eastAsia"/>
          <w:szCs w:val="21"/>
          <w:highlight w:val="none"/>
        </w:rPr>
        <w:t>具有履行合同所必需的设备和专业技术能力；</w:t>
      </w:r>
    </w:p>
    <w:p w14:paraId="21FBAE06">
      <w:pPr>
        <w:numPr>
          <w:ilvl w:val="0"/>
          <w:numId w:val="4"/>
        </w:numPr>
        <w:autoSpaceDE w:val="0"/>
        <w:autoSpaceDN w:val="0"/>
        <w:spacing w:line="360" w:lineRule="auto"/>
        <w:ind w:left="1134"/>
        <w:jc w:val="left"/>
        <w:rPr>
          <w:szCs w:val="21"/>
          <w:highlight w:val="none"/>
        </w:rPr>
      </w:pPr>
      <w:r>
        <w:rPr>
          <w:rFonts w:hint="eastAsia"/>
          <w:szCs w:val="21"/>
          <w:highlight w:val="none"/>
        </w:rPr>
        <w:t>具有依法缴纳税收和社会保障资金的良好记录；</w:t>
      </w:r>
    </w:p>
    <w:p w14:paraId="4F4FD1D4">
      <w:pPr>
        <w:numPr>
          <w:ilvl w:val="0"/>
          <w:numId w:val="4"/>
        </w:numPr>
        <w:autoSpaceDE w:val="0"/>
        <w:autoSpaceDN w:val="0"/>
        <w:spacing w:line="360" w:lineRule="auto"/>
        <w:ind w:left="1134"/>
        <w:jc w:val="left"/>
        <w:rPr>
          <w:szCs w:val="21"/>
          <w:highlight w:val="none"/>
        </w:rPr>
      </w:pPr>
      <w:r>
        <w:rPr>
          <w:rFonts w:hint="eastAsia"/>
          <w:szCs w:val="21"/>
          <w:highlight w:val="none"/>
        </w:rPr>
        <w:t>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p>
    <w:p w14:paraId="44318DF4">
      <w:pPr>
        <w:numPr>
          <w:ilvl w:val="0"/>
          <w:numId w:val="4"/>
        </w:numPr>
        <w:autoSpaceDE w:val="0"/>
        <w:autoSpaceDN w:val="0"/>
        <w:spacing w:line="360" w:lineRule="auto"/>
        <w:ind w:left="1134"/>
        <w:jc w:val="left"/>
        <w:rPr>
          <w:szCs w:val="21"/>
          <w:highlight w:val="none"/>
        </w:rPr>
      </w:pPr>
      <w:r>
        <w:rPr>
          <w:rFonts w:hint="eastAsia"/>
          <w:szCs w:val="21"/>
          <w:highlight w:val="none"/>
        </w:rPr>
        <w:t>我单位不存在为采购项目提供整体设计、规范编制或者项目管理、监理、检测等服务后，再参加该采购项目的其他采购活动的情形（单一来源采购项目除外）；</w:t>
      </w:r>
    </w:p>
    <w:p w14:paraId="3C1F9E9C">
      <w:pPr>
        <w:numPr>
          <w:ilvl w:val="0"/>
          <w:numId w:val="4"/>
        </w:numPr>
        <w:autoSpaceDE w:val="0"/>
        <w:autoSpaceDN w:val="0"/>
        <w:spacing w:line="360" w:lineRule="auto"/>
        <w:ind w:left="1134"/>
        <w:jc w:val="left"/>
        <w:rPr>
          <w:szCs w:val="21"/>
          <w:highlight w:val="none"/>
        </w:rPr>
      </w:pPr>
      <w:r>
        <w:rPr>
          <w:rFonts w:hint="eastAsia"/>
          <w:szCs w:val="21"/>
          <w:highlight w:val="none"/>
        </w:rPr>
        <w:t>与我单位存在“单位负责人为同一人或者存在直接控股、管理关系”的其他法人单位信息如下（如有，不论其是否参加同一合同项下的政府采购活动均须填写）：</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6F89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24149FC3">
            <w:pPr>
              <w:spacing w:line="360" w:lineRule="auto"/>
              <w:jc w:val="center"/>
              <w:rPr>
                <w:szCs w:val="21"/>
                <w:highlight w:val="none"/>
              </w:rPr>
            </w:pPr>
            <w:r>
              <w:rPr>
                <w:rFonts w:hint="eastAsia"/>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vAlign w:val="center"/>
          </w:tcPr>
          <w:p w14:paraId="4641D48E">
            <w:pPr>
              <w:spacing w:line="360" w:lineRule="auto"/>
              <w:jc w:val="center"/>
              <w:rPr>
                <w:szCs w:val="21"/>
                <w:highlight w:val="none"/>
              </w:rPr>
            </w:pPr>
            <w:r>
              <w:rPr>
                <w:rFonts w:hint="eastAsia"/>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vAlign w:val="center"/>
          </w:tcPr>
          <w:p w14:paraId="668427D2">
            <w:pPr>
              <w:spacing w:line="360" w:lineRule="auto"/>
              <w:jc w:val="center"/>
              <w:rPr>
                <w:szCs w:val="21"/>
                <w:highlight w:val="none"/>
              </w:rPr>
            </w:pPr>
            <w:r>
              <w:rPr>
                <w:rFonts w:hint="eastAsia"/>
                <w:szCs w:val="21"/>
                <w:highlight w:val="none"/>
              </w:rPr>
              <w:t>相互关系</w:t>
            </w:r>
          </w:p>
        </w:tc>
      </w:tr>
      <w:tr w14:paraId="69536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3957A4F5">
            <w:pPr>
              <w:spacing w:line="360" w:lineRule="auto"/>
              <w:jc w:val="center"/>
              <w:rPr>
                <w:szCs w:val="21"/>
                <w:highlight w:val="none"/>
              </w:rPr>
            </w:pPr>
            <w:r>
              <w:rPr>
                <w:rFonts w:hint="eastAsia"/>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vAlign w:val="center"/>
          </w:tcPr>
          <w:p w14:paraId="7260254A">
            <w:pPr>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6D83835D">
            <w:pPr>
              <w:spacing w:line="360" w:lineRule="auto"/>
              <w:jc w:val="center"/>
              <w:rPr>
                <w:b/>
                <w:bCs/>
                <w:szCs w:val="21"/>
                <w:highlight w:val="none"/>
              </w:rPr>
            </w:pPr>
            <w:r>
              <w:rPr>
                <w:rFonts w:hint="eastAsia"/>
                <w:b/>
                <w:bCs/>
                <w:szCs w:val="21"/>
                <w:highlight w:val="none"/>
              </w:rPr>
              <w:t>/</w:t>
            </w:r>
          </w:p>
        </w:tc>
      </w:tr>
      <w:tr w14:paraId="1F26F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40A8951C">
            <w:pPr>
              <w:spacing w:line="360" w:lineRule="auto"/>
              <w:jc w:val="center"/>
              <w:rPr>
                <w:szCs w:val="21"/>
                <w:highlight w:val="none"/>
              </w:rPr>
            </w:pPr>
            <w:r>
              <w:rPr>
                <w:rFonts w:hint="eastAsia"/>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vAlign w:val="center"/>
          </w:tcPr>
          <w:p w14:paraId="1E6D3721">
            <w:pPr>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5EE8AC4D">
            <w:pPr>
              <w:spacing w:line="360" w:lineRule="auto"/>
              <w:jc w:val="center"/>
              <w:rPr>
                <w:b/>
                <w:bCs/>
                <w:szCs w:val="21"/>
                <w:highlight w:val="none"/>
              </w:rPr>
            </w:pPr>
            <w:r>
              <w:rPr>
                <w:rFonts w:hint="eastAsia"/>
                <w:b/>
                <w:bCs/>
                <w:szCs w:val="21"/>
                <w:highlight w:val="none"/>
              </w:rPr>
              <w:t>/</w:t>
            </w:r>
          </w:p>
        </w:tc>
      </w:tr>
      <w:tr w14:paraId="078F3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3430C009">
            <w:pPr>
              <w:spacing w:line="360" w:lineRule="auto"/>
              <w:jc w:val="center"/>
              <w:rPr>
                <w:szCs w:val="21"/>
                <w:highlight w:val="none"/>
              </w:rPr>
            </w:pPr>
            <w:r>
              <w:rPr>
                <w:rFonts w:hint="eastAsia"/>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vAlign w:val="center"/>
          </w:tcPr>
          <w:p w14:paraId="4D43D5F6">
            <w:pPr>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3E741D27">
            <w:pPr>
              <w:spacing w:line="360" w:lineRule="auto"/>
              <w:jc w:val="center"/>
              <w:rPr>
                <w:b/>
                <w:bCs/>
                <w:szCs w:val="21"/>
                <w:highlight w:val="none"/>
              </w:rPr>
            </w:pPr>
            <w:r>
              <w:rPr>
                <w:rFonts w:hint="eastAsia"/>
                <w:b/>
                <w:bCs/>
                <w:szCs w:val="21"/>
                <w:highlight w:val="none"/>
              </w:rPr>
              <w:t>/</w:t>
            </w:r>
          </w:p>
        </w:tc>
      </w:tr>
    </w:tbl>
    <w:p w14:paraId="1B8CFC46">
      <w:pPr>
        <w:spacing w:line="360" w:lineRule="auto"/>
        <w:rPr>
          <w:szCs w:val="21"/>
          <w:highlight w:val="none"/>
        </w:rPr>
      </w:pPr>
    </w:p>
    <w:p w14:paraId="0AB6CA05">
      <w:pPr>
        <w:spacing w:line="360" w:lineRule="auto"/>
        <w:ind w:firstLine="420" w:firstLineChars="200"/>
        <w:rPr>
          <w:szCs w:val="21"/>
          <w:highlight w:val="none"/>
        </w:rPr>
      </w:pPr>
      <w:r>
        <w:rPr>
          <w:rFonts w:hint="eastAsia"/>
          <w:szCs w:val="21"/>
          <w:highlight w:val="none"/>
        </w:rPr>
        <w:t>上述声明真实有效，否则我方负全部责任。</w:t>
      </w:r>
    </w:p>
    <w:p w14:paraId="2170EB53">
      <w:pPr>
        <w:spacing w:line="360" w:lineRule="auto"/>
        <w:rPr>
          <w:szCs w:val="21"/>
          <w:highlight w:val="none"/>
        </w:rPr>
      </w:pPr>
    </w:p>
    <w:p w14:paraId="040089E6">
      <w:pPr>
        <w:wordWrap w:val="0"/>
        <w:spacing w:before="25" w:after="25" w:line="360" w:lineRule="auto"/>
        <w:jc w:val="right"/>
        <w:rPr>
          <w:szCs w:val="21"/>
          <w:highlight w:val="none"/>
        </w:rPr>
      </w:pPr>
      <w:r>
        <w:rPr>
          <w:rFonts w:hint="eastAsia"/>
          <w:szCs w:val="21"/>
          <w:highlight w:val="none"/>
        </w:rPr>
        <w:t>供应商名称（加盖公章）：</w:t>
      </w:r>
      <w:r>
        <w:rPr>
          <w:rFonts w:hint="eastAsia"/>
          <w:szCs w:val="21"/>
          <w:highlight w:val="none"/>
          <w:u w:val="single"/>
        </w:rPr>
        <w:t xml:space="preserve">            </w:t>
      </w:r>
      <w:r>
        <w:rPr>
          <w:rFonts w:hint="eastAsia"/>
          <w:szCs w:val="21"/>
          <w:highlight w:val="none"/>
        </w:rPr>
        <w:t xml:space="preserve"> </w:t>
      </w:r>
    </w:p>
    <w:p w14:paraId="23B6FF9E">
      <w:pPr>
        <w:spacing w:line="360" w:lineRule="auto"/>
        <w:ind w:right="360" w:firstLine="480"/>
        <w:jc w:val="right"/>
        <w:rPr>
          <w:szCs w:val="21"/>
          <w:highlight w:val="none"/>
        </w:rPr>
      </w:pPr>
      <w:r>
        <w:rPr>
          <w:rFonts w:hint="eastAsia"/>
          <w:szCs w:val="21"/>
          <w:highlight w:val="none"/>
        </w:rPr>
        <w:t>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p>
    <w:p w14:paraId="3E7919AE">
      <w:pPr>
        <w:spacing w:before="25" w:after="25" w:line="360" w:lineRule="auto"/>
        <w:jc w:val="right"/>
        <w:rPr>
          <w:szCs w:val="21"/>
          <w:highlight w:val="none"/>
        </w:rPr>
      </w:pPr>
    </w:p>
    <w:p w14:paraId="46DAF46A">
      <w:pPr>
        <w:spacing w:line="360" w:lineRule="auto"/>
        <w:rPr>
          <w:szCs w:val="21"/>
          <w:highlight w:val="none"/>
        </w:rPr>
      </w:pPr>
    </w:p>
    <w:p w14:paraId="58DF55EE">
      <w:pPr>
        <w:spacing w:line="360" w:lineRule="auto"/>
        <w:rPr>
          <w:szCs w:val="21"/>
          <w:highlight w:val="none"/>
        </w:rPr>
      </w:pPr>
      <w:r>
        <w:rPr>
          <w:rFonts w:hint="eastAsia"/>
          <w:szCs w:val="21"/>
          <w:highlight w:val="none"/>
        </w:rPr>
        <w:t>说明：供应商承诺不实的，依据《</w:t>
      </w:r>
      <w:r>
        <w:rPr>
          <w:rFonts w:hint="eastAsia" w:ascii="宋体" w:hAnsi="宋体" w:cs="宋体"/>
          <w:szCs w:val="21"/>
          <w:highlight w:val="none"/>
        </w:rPr>
        <w:t>中华人民共和国政府采购法</w:t>
      </w:r>
      <w:r>
        <w:rPr>
          <w:rFonts w:hint="eastAsia"/>
          <w:szCs w:val="21"/>
          <w:highlight w:val="none"/>
        </w:rPr>
        <w:t>》第七十七条“提供虚假材料谋取中标、成交的”有关规定予以处理。</w:t>
      </w:r>
    </w:p>
    <w:p w14:paraId="0AF079FC">
      <w:pPr>
        <w:spacing w:line="360" w:lineRule="auto"/>
        <w:ind w:firstLine="420" w:firstLineChars="200"/>
        <w:contextualSpacing/>
        <w:rPr>
          <w:rFonts w:hint="eastAsia" w:ascii="宋体" w:hAnsi="宋体"/>
          <w:bCs/>
          <w:szCs w:val="21"/>
          <w:highlight w:val="none"/>
        </w:rPr>
      </w:pPr>
    </w:p>
    <w:p w14:paraId="468468F3">
      <w:pPr>
        <w:spacing w:line="360" w:lineRule="auto"/>
        <w:jc w:val="center"/>
        <w:rPr>
          <w:rFonts w:hint="eastAsia" w:ascii="宋体" w:hAnsi="宋体"/>
          <w:bCs/>
          <w:color w:val="000000"/>
          <w:sz w:val="30"/>
          <w:szCs w:val="30"/>
          <w:highlight w:val="none"/>
        </w:rPr>
      </w:pPr>
    </w:p>
    <w:p w14:paraId="60BB1927">
      <w:pPr>
        <w:spacing w:line="360" w:lineRule="auto"/>
        <w:jc w:val="center"/>
        <w:rPr>
          <w:rFonts w:hint="eastAsia" w:ascii="宋体" w:hAnsi="宋体"/>
          <w:b/>
          <w:color w:val="000000"/>
          <w:szCs w:val="21"/>
          <w:highlight w:val="none"/>
        </w:rPr>
      </w:pPr>
    </w:p>
    <w:p w14:paraId="04C0D612">
      <w:pPr>
        <w:spacing w:line="360" w:lineRule="auto"/>
        <w:rPr>
          <w:highlight w:val="none"/>
        </w:rPr>
        <w:sectPr>
          <w:pgSz w:w="11907" w:h="16840"/>
          <w:pgMar w:top="1134" w:right="1134" w:bottom="1134" w:left="1560" w:header="851" w:footer="851" w:gutter="0"/>
          <w:cols w:space="720" w:num="1"/>
          <w:docGrid w:linePitch="312" w:charSpace="0"/>
        </w:sectPr>
      </w:pPr>
    </w:p>
    <w:p w14:paraId="74E12F67">
      <w:pPr>
        <w:spacing w:line="360" w:lineRule="auto"/>
        <w:jc w:val="center"/>
        <w:outlineLvl w:val="4"/>
        <w:rPr>
          <w:rFonts w:hint="eastAsia" w:ascii="宋体" w:hAnsi="宋体" w:cs="宋体"/>
          <w:b/>
          <w:bCs/>
          <w:szCs w:val="21"/>
          <w:highlight w:val="none"/>
        </w:rPr>
      </w:pPr>
      <w:r>
        <w:rPr>
          <w:rFonts w:hint="eastAsia" w:ascii="宋体" w:hAnsi="宋体" w:cs="宋体"/>
          <w:b/>
          <w:bCs/>
          <w:szCs w:val="21"/>
          <w:highlight w:val="none"/>
        </w:rPr>
        <w:t>4.诚信承诺书</w:t>
      </w:r>
    </w:p>
    <w:p w14:paraId="7DE46B77">
      <w:pPr>
        <w:spacing w:line="360" w:lineRule="auto"/>
        <w:rPr>
          <w:rFonts w:hint="eastAsia"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w:t>
      </w:r>
    </w:p>
    <w:p w14:paraId="3EFBA78C">
      <w:pPr>
        <w:spacing w:line="360" w:lineRule="auto"/>
        <w:ind w:firstLine="480"/>
        <w:rPr>
          <w:rFonts w:hint="eastAsia" w:ascii="宋体" w:hAnsi="宋体" w:cs="宋体"/>
          <w:szCs w:val="21"/>
          <w:highlight w:val="none"/>
        </w:rPr>
      </w:pPr>
      <w:r>
        <w:rPr>
          <w:rFonts w:hint="eastAsia" w:ascii="宋体" w:hAnsi="宋体" w:cs="宋体"/>
          <w:szCs w:val="21"/>
          <w:highlight w:val="none"/>
        </w:rPr>
        <w:t>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的磋商活动中，郑重承诺如下：</w:t>
      </w:r>
    </w:p>
    <w:p w14:paraId="57576E50">
      <w:pPr>
        <w:spacing w:line="360" w:lineRule="auto"/>
        <w:ind w:firstLine="480"/>
        <w:rPr>
          <w:rFonts w:hint="eastAsia" w:ascii="宋体" w:hAnsi="宋体" w:cs="宋体"/>
          <w:szCs w:val="21"/>
          <w:highlight w:val="none"/>
        </w:rPr>
      </w:pPr>
      <w:r>
        <w:rPr>
          <w:rFonts w:hint="eastAsia" w:ascii="宋体" w:hAnsi="宋体" w:cs="宋体"/>
          <w:szCs w:val="21"/>
          <w:highlight w:val="none"/>
        </w:rPr>
        <w:t>1.我单位参与本项目投标，提交的磋商响应文件包括资格审查材料均真实可信。证件及有关附件是真实的，绝无提供虚假材料行为。</w:t>
      </w:r>
    </w:p>
    <w:p w14:paraId="502FE5B4">
      <w:pPr>
        <w:spacing w:line="360" w:lineRule="auto"/>
        <w:ind w:firstLine="480"/>
        <w:rPr>
          <w:rFonts w:hint="eastAsia" w:ascii="宋体" w:hAnsi="宋体" w:cs="宋体"/>
          <w:szCs w:val="21"/>
          <w:highlight w:val="none"/>
        </w:rPr>
      </w:pPr>
      <w:r>
        <w:rPr>
          <w:rFonts w:hint="eastAsia" w:ascii="宋体" w:hAnsi="宋体" w:cs="宋体"/>
          <w:szCs w:val="21"/>
          <w:highlight w:val="none"/>
        </w:rPr>
        <w:t>2.我单位参与本项目投标绝无借资质、挂靠行为。</w:t>
      </w:r>
    </w:p>
    <w:p w14:paraId="588C00C8">
      <w:pPr>
        <w:spacing w:line="360" w:lineRule="auto"/>
        <w:ind w:firstLine="480"/>
        <w:rPr>
          <w:rFonts w:hint="eastAsia" w:ascii="宋体" w:hAnsi="宋体" w:cs="宋体"/>
          <w:szCs w:val="21"/>
          <w:highlight w:val="none"/>
        </w:rPr>
      </w:pPr>
      <w:r>
        <w:rPr>
          <w:rFonts w:hint="eastAsia" w:ascii="宋体" w:hAnsi="宋体" w:cs="宋体"/>
          <w:szCs w:val="21"/>
          <w:highlight w:val="none"/>
        </w:rPr>
        <w:t>3.本项目授权代表为本单位正式员工。</w:t>
      </w:r>
    </w:p>
    <w:p w14:paraId="0E06E30F">
      <w:pPr>
        <w:spacing w:line="360" w:lineRule="auto"/>
        <w:ind w:firstLine="480"/>
        <w:rPr>
          <w:rFonts w:hint="eastAsia" w:ascii="宋体" w:hAnsi="宋体" w:cs="宋体"/>
          <w:szCs w:val="21"/>
          <w:highlight w:val="none"/>
        </w:rPr>
      </w:pPr>
      <w:r>
        <w:rPr>
          <w:rFonts w:hint="eastAsia" w:ascii="宋体" w:hAnsi="宋体" w:cs="宋体"/>
          <w:szCs w:val="21"/>
          <w:highlight w:val="none"/>
        </w:rPr>
        <w:t>4.我单位遵守国家廉政相关规定，无失信、行贿等不良行为。</w:t>
      </w:r>
    </w:p>
    <w:p w14:paraId="3941673A">
      <w:pPr>
        <w:spacing w:line="360" w:lineRule="auto"/>
        <w:ind w:firstLine="480"/>
        <w:rPr>
          <w:rFonts w:hint="eastAsia" w:ascii="宋体" w:hAnsi="宋体" w:cs="宋体"/>
          <w:szCs w:val="21"/>
          <w:highlight w:val="none"/>
          <w:lang w:val="en-GB"/>
        </w:rPr>
      </w:pPr>
      <w:r>
        <w:rPr>
          <w:rFonts w:hint="eastAsia" w:ascii="宋体" w:hAnsi="宋体" w:cs="宋体"/>
          <w:szCs w:val="21"/>
          <w:highlight w:val="none"/>
        </w:rPr>
        <w:t>5.</w:t>
      </w:r>
      <w:r>
        <w:rPr>
          <w:rFonts w:hint="eastAsia" w:ascii="宋体" w:hAnsi="宋体" w:cs="宋体"/>
          <w:szCs w:val="21"/>
          <w:highlight w:val="none"/>
          <w:lang w:val="en-GB"/>
        </w:rPr>
        <w:t>我单位</w:t>
      </w:r>
      <w:r>
        <w:rPr>
          <w:rFonts w:hint="eastAsia" w:ascii="宋体" w:hAnsi="宋体" w:cs="宋体"/>
          <w:szCs w:val="21"/>
          <w:highlight w:val="none"/>
        </w:rPr>
        <w:t>参与本项目</w:t>
      </w:r>
      <w:r>
        <w:rPr>
          <w:rFonts w:hint="eastAsia" w:ascii="宋体" w:hAnsi="宋体" w:cs="宋体"/>
          <w:szCs w:val="21"/>
          <w:highlight w:val="none"/>
          <w:lang w:val="en-GB"/>
        </w:rPr>
        <w:t>投标</w:t>
      </w:r>
      <w:r>
        <w:rPr>
          <w:rFonts w:hint="eastAsia" w:ascii="宋体" w:hAnsi="宋体" w:cs="宋体"/>
          <w:szCs w:val="21"/>
          <w:highlight w:val="none"/>
        </w:rPr>
        <w:t>绝无</w:t>
      </w:r>
      <w:r>
        <w:rPr>
          <w:rFonts w:hint="eastAsia" w:ascii="宋体" w:hAnsi="宋体" w:cs="宋体"/>
          <w:szCs w:val="21"/>
          <w:highlight w:val="none"/>
          <w:lang w:val="en-GB"/>
        </w:rPr>
        <w:t>串标、围标等行为。</w:t>
      </w:r>
    </w:p>
    <w:p w14:paraId="1D21FF6D">
      <w:pPr>
        <w:spacing w:line="360" w:lineRule="auto"/>
        <w:ind w:firstLine="480"/>
        <w:rPr>
          <w:rFonts w:hint="eastAsia" w:ascii="宋体" w:hAnsi="宋体" w:cs="宋体"/>
          <w:szCs w:val="21"/>
          <w:highlight w:val="none"/>
          <w:lang w:val="en-GB"/>
        </w:rPr>
      </w:pPr>
      <w:r>
        <w:rPr>
          <w:rFonts w:hint="eastAsia" w:ascii="宋体" w:hAnsi="宋体" w:cs="宋体"/>
          <w:szCs w:val="21"/>
          <w:highlight w:val="none"/>
        </w:rPr>
        <w:t>6.</w:t>
      </w:r>
      <w:r>
        <w:rPr>
          <w:rFonts w:hint="eastAsia" w:ascii="宋体" w:hAnsi="宋体" w:cs="宋体"/>
          <w:szCs w:val="21"/>
          <w:highlight w:val="none"/>
          <w:lang w:val="en-GB"/>
        </w:rPr>
        <w:t>我单位在参加政府采购活动前三年内，在经营活动中没有重大违法记录。</w:t>
      </w:r>
    </w:p>
    <w:p w14:paraId="3C50CCE4">
      <w:pPr>
        <w:spacing w:line="360" w:lineRule="auto"/>
        <w:ind w:firstLine="480"/>
        <w:rPr>
          <w:rFonts w:hint="eastAsia" w:ascii="宋体" w:hAnsi="宋体" w:cs="宋体"/>
          <w:szCs w:val="21"/>
          <w:highlight w:val="none"/>
        </w:rPr>
      </w:pPr>
      <w:r>
        <w:rPr>
          <w:rFonts w:hint="eastAsia" w:ascii="宋体" w:hAnsi="宋体" w:cs="宋体"/>
          <w:szCs w:val="21"/>
          <w:highlight w:val="none"/>
        </w:rPr>
        <w:t>7.如中标，我单位</w:t>
      </w:r>
      <w:r>
        <w:rPr>
          <w:rFonts w:hint="eastAsia" w:ascii="宋体" w:hAnsi="宋体" w:cs="宋体"/>
          <w:szCs w:val="21"/>
          <w:highlight w:val="none"/>
          <w:lang w:val="en-GB"/>
        </w:rPr>
        <w:t>在</w:t>
      </w:r>
      <w:r>
        <w:rPr>
          <w:rFonts w:hint="eastAsia" w:ascii="宋体" w:hAnsi="宋体" w:cs="宋体"/>
          <w:szCs w:val="21"/>
          <w:highlight w:val="none"/>
        </w:rPr>
        <w:t>成交结果</w:t>
      </w:r>
      <w:r>
        <w:rPr>
          <w:rFonts w:hint="eastAsia" w:ascii="宋体" w:hAnsi="宋体" w:cs="宋体"/>
          <w:szCs w:val="21"/>
          <w:highlight w:val="none"/>
          <w:lang w:val="en-GB"/>
        </w:rPr>
        <w:t>公示结束后</w:t>
      </w:r>
      <w:r>
        <w:rPr>
          <w:rFonts w:hint="eastAsia" w:ascii="宋体" w:hAnsi="宋体" w:cs="宋体"/>
          <w:szCs w:val="21"/>
          <w:highlight w:val="none"/>
        </w:rPr>
        <w:t>3天内领取中标通知书。</w:t>
      </w:r>
    </w:p>
    <w:p w14:paraId="02D12DEF">
      <w:pPr>
        <w:spacing w:line="360" w:lineRule="auto"/>
        <w:ind w:firstLine="480"/>
        <w:rPr>
          <w:rFonts w:hint="eastAsia" w:ascii="宋体" w:hAnsi="宋体" w:cs="宋体"/>
          <w:szCs w:val="21"/>
          <w:highlight w:val="none"/>
        </w:rPr>
      </w:pPr>
      <w:r>
        <w:rPr>
          <w:rFonts w:hint="eastAsia" w:ascii="宋体" w:hAnsi="宋体" w:cs="宋体"/>
          <w:szCs w:val="21"/>
          <w:highlight w:val="none"/>
        </w:rPr>
        <w:t>8.中标后，我单位将按照采购文件规定并在成交通知书规定的时限内与采购单位签订合同。</w:t>
      </w:r>
    </w:p>
    <w:p w14:paraId="2DDBDAE7">
      <w:pPr>
        <w:spacing w:line="360" w:lineRule="auto"/>
        <w:ind w:firstLine="480"/>
        <w:rPr>
          <w:rFonts w:hint="eastAsia" w:ascii="宋体" w:hAnsi="宋体" w:cs="宋体"/>
          <w:szCs w:val="21"/>
          <w:highlight w:val="none"/>
        </w:rPr>
      </w:pPr>
      <w:r>
        <w:rPr>
          <w:rFonts w:hint="eastAsia" w:ascii="宋体" w:hAnsi="宋体" w:cs="宋体"/>
          <w:szCs w:val="21"/>
          <w:highlight w:val="none"/>
        </w:rPr>
        <w:t>9.如中标，我单位将按照采购文件规定以及响应文件中承诺的相关事项向采购人提供完整相关证明材料或配合采购人做好相关工作。</w:t>
      </w:r>
    </w:p>
    <w:p w14:paraId="6669A8C9">
      <w:pPr>
        <w:spacing w:line="360" w:lineRule="auto"/>
        <w:ind w:firstLine="480"/>
        <w:rPr>
          <w:rFonts w:hint="eastAsia" w:ascii="宋体" w:hAnsi="宋体" w:cs="宋体"/>
          <w:szCs w:val="21"/>
          <w:highlight w:val="none"/>
        </w:rPr>
      </w:pPr>
      <w:r>
        <w:rPr>
          <w:rFonts w:hint="eastAsia" w:ascii="宋体" w:hAnsi="宋体" w:cs="宋体"/>
          <w:szCs w:val="21"/>
          <w:highlight w:val="none"/>
        </w:rPr>
        <w:t>若我单位未能兑现以上承诺，愿意放弃本项目中标资格，愿意被采购人列入政府采购黑名单1～3年，愿意接受采购人和监管部门的其他处罚，并愿意承担因违反上述承诺内容所引发的一切责任与后果。</w:t>
      </w:r>
    </w:p>
    <w:p w14:paraId="7E7D01D4">
      <w:pPr>
        <w:spacing w:line="360" w:lineRule="auto"/>
        <w:ind w:firstLine="560"/>
        <w:rPr>
          <w:rFonts w:hint="eastAsia" w:ascii="宋体" w:hAnsi="宋体" w:cs="宋体"/>
          <w:bCs/>
          <w:szCs w:val="21"/>
          <w:highlight w:val="none"/>
        </w:rPr>
      </w:pPr>
    </w:p>
    <w:p w14:paraId="1CBC27EA">
      <w:pPr>
        <w:spacing w:line="360" w:lineRule="auto"/>
        <w:ind w:firstLine="3624" w:firstLineChars="1726"/>
        <w:rPr>
          <w:rFonts w:hint="eastAsia" w:ascii="宋体" w:hAnsi="宋体" w:cs="宋体"/>
          <w:bCs/>
          <w:szCs w:val="21"/>
          <w:highlight w:val="none"/>
        </w:rPr>
      </w:pPr>
      <w:r>
        <w:rPr>
          <w:rFonts w:hint="eastAsia" w:ascii="宋体" w:hAnsi="宋体" w:cs="宋体"/>
          <w:bCs/>
          <w:szCs w:val="21"/>
          <w:highlight w:val="none"/>
        </w:rPr>
        <w:t>供应商（盖公章）：</w:t>
      </w:r>
      <w:r>
        <w:rPr>
          <w:rFonts w:hint="eastAsia" w:ascii="宋体" w:hAnsi="宋体" w:cs="宋体"/>
          <w:bCs/>
          <w:szCs w:val="21"/>
          <w:highlight w:val="none"/>
          <w:u w:val="single"/>
        </w:rPr>
        <w:t xml:space="preserve">                              </w:t>
      </w:r>
    </w:p>
    <w:p w14:paraId="79540642">
      <w:pPr>
        <w:spacing w:line="360" w:lineRule="auto"/>
        <w:ind w:firstLine="480"/>
        <w:rPr>
          <w:rFonts w:hint="eastAsia" w:ascii="宋体" w:hAnsi="宋体" w:cs="宋体"/>
          <w:bCs/>
          <w:szCs w:val="21"/>
          <w:highlight w:val="none"/>
        </w:rPr>
      </w:pPr>
    </w:p>
    <w:p w14:paraId="27811268">
      <w:pPr>
        <w:spacing w:line="360" w:lineRule="auto"/>
        <w:ind w:firstLine="3624" w:firstLineChars="1726"/>
        <w:rPr>
          <w:rFonts w:hint="eastAsia" w:ascii="宋体" w:hAnsi="宋体" w:cs="宋体"/>
          <w:bCs/>
          <w:szCs w:val="21"/>
          <w:highlight w:val="none"/>
        </w:rPr>
      </w:pPr>
      <w:r>
        <w:rPr>
          <w:rFonts w:hint="eastAsia" w:ascii="宋体" w:hAnsi="宋体" w:cs="宋体"/>
          <w:bCs/>
          <w:szCs w:val="21"/>
          <w:highlight w:val="none"/>
        </w:rPr>
        <w:t>法定代表人（签字或盖章）：</w:t>
      </w:r>
      <w:r>
        <w:rPr>
          <w:rFonts w:hint="eastAsia" w:ascii="宋体" w:hAnsi="宋体" w:cs="宋体"/>
          <w:bCs/>
          <w:szCs w:val="21"/>
          <w:highlight w:val="none"/>
          <w:u w:val="single"/>
        </w:rPr>
        <w:t xml:space="preserve">                      </w:t>
      </w:r>
    </w:p>
    <w:p w14:paraId="1DABE026">
      <w:pPr>
        <w:spacing w:line="360" w:lineRule="auto"/>
        <w:ind w:firstLine="480"/>
        <w:jc w:val="right"/>
        <w:rPr>
          <w:rFonts w:hint="eastAsia" w:ascii="宋体" w:hAnsi="宋体" w:cs="宋体"/>
          <w:szCs w:val="21"/>
          <w:highlight w:val="none"/>
        </w:rPr>
      </w:pPr>
    </w:p>
    <w:p w14:paraId="65C2C667">
      <w:pPr>
        <w:spacing w:line="360" w:lineRule="auto"/>
        <w:ind w:left="2833" w:right="560" w:firstLine="2777"/>
        <w:rPr>
          <w:rFonts w:hint="eastAsia" w:ascii="宋体" w:hAnsi="宋体" w:cs="宋体"/>
          <w:szCs w:val="21"/>
          <w:highlight w:val="none"/>
        </w:rPr>
      </w:pPr>
      <w:r>
        <w:rPr>
          <w:rFonts w:hint="eastAsia" w:ascii="宋体" w:hAnsi="宋体" w:cs="宋体"/>
          <w:szCs w:val="21"/>
          <w:highlight w:val="none"/>
        </w:rPr>
        <w:t>年     月     日</w:t>
      </w:r>
    </w:p>
    <w:p w14:paraId="7C424AE3">
      <w:pPr>
        <w:spacing w:line="360" w:lineRule="auto"/>
        <w:jc w:val="center"/>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5.中小企业声明函（工程、服务）</w:t>
      </w:r>
    </w:p>
    <w:p w14:paraId="163FCEC5">
      <w:pPr>
        <w:spacing w:line="360" w:lineRule="auto"/>
        <w:ind w:firstLine="560"/>
        <w:rPr>
          <w:rFonts w:hint="eastAsia" w:ascii="宋体" w:hAnsi="宋体" w:cs="宋体"/>
          <w:szCs w:val="21"/>
          <w:highlight w:val="none"/>
          <w:lang w:bidi="zh-CN"/>
        </w:rPr>
      </w:pPr>
      <w:r>
        <w:rPr>
          <w:rFonts w:hint="eastAsia" w:ascii="宋体" w:hAnsi="宋体" w:cs="宋体"/>
          <w:szCs w:val="21"/>
          <w:highlight w:val="none"/>
          <w:lang w:bidi="zh-CN"/>
        </w:rPr>
        <w:t>本公司郑重声明，根据《政府采购促进中小企业发展管理办法》（财库﹝2020﹞46 号）的规定，本公司参加</w:t>
      </w:r>
      <w:r>
        <w:rPr>
          <w:rFonts w:hint="eastAsia" w:ascii="宋体" w:hAnsi="宋体" w:cs="宋体"/>
          <w:szCs w:val="21"/>
          <w:highlight w:val="none"/>
          <w:u w:val="single"/>
          <w:lang w:bidi="zh-CN"/>
        </w:rPr>
        <w:t>（单位名称）</w:t>
      </w:r>
      <w:r>
        <w:rPr>
          <w:rFonts w:hint="eastAsia" w:ascii="宋体" w:hAnsi="宋体" w:cs="宋体"/>
          <w:szCs w:val="21"/>
          <w:highlight w:val="none"/>
          <w:lang w:bidi="zh-CN"/>
        </w:rPr>
        <w:t>的</w:t>
      </w:r>
      <w:r>
        <w:rPr>
          <w:rFonts w:hint="eastAsia" w:ascii="宋体" w:hAnsi="宋体" w:cs="宋体"/>
          <w:szCs w:val="21"/>
          <w:highlight w:val="none"/>
          <w:u w:val="single"/>
          <w:lang w:bidi="zh-CN"/>
        </w:rPr>
        <w:t>（项目名称）</w:t>
      </w:r>
      <w:r>
        <w:rPr>
          <w:rFonts w:hint="eastAsia" w:ascii="宋体" w:hAnsi="宋体" w:cs="宋体"/>
          <w:szCs w:val="21"/>
          <w:highlight w:val="none"/>
          <w:lang w:bidi="zh-CN"/>
        </w:rPr>
        <w:t>采购活动，工程的施工单位全部为符合政策要求的中小企业（或者：服务全部由符合政策要求的中小企业承接）。企业的具体情况如下：</w:t>
      </w:r>
    </w:p>
    <w:p w14:paraId="28EC090D">
      <w:pPr>
        <w:spacing w:line="360" w:lineRule="auto"/>
        <w:ind w:firstLine="420" w:firstLineChars="200"/>
        <w:jc w:val="left"/>
        <w:rPr>
          <w:rFonts w:hint="eastAsia" w:ascii="宋体" w:hAnsi="宋体" w:cs="宋体"/>
          <w:szCs w:val="21"/>
          <w:highlight w:val="none"/>
          <w:lang w:bidi="zh-CN"/>
        </w:rPr>
      </w:pPr>
      <w:r>
        <w:rPr>
          <w:rFonts w:hint="eastAsia" w:ascii="宋体" w:hAnsi="宋体" w:cs="宋体"/>
          <w:szCs w:val="21"/>
          <w:highlight w:val="none"/>
          <w:lang w:bidi="zh-CN"/>
        </w:rPr>
        <w:t>1.</w:t>
      </w:r>
      <w:r>
        <w:rPr>
          <w:rFonts w:hint="eastAsia" w:ascii="宋体" w:hAnsi="宋体" w:cs="宋体"/>
          <w:szCs w:val="21"/>
          <w:highlight w:val="none"/>
          <w:u w:val="single"/>
          <w:lang w:bidi="zh-CN"/>
        </w:rPr>
        <w:t>（标的名称）</w:t>
      </w:r>
      <w:r>
        <w:rPr>
          <w:rFonts w:hint="eastAsia" w:ascii="宋体" w:hAnsi="宋体" w:cs="宋体"/>
          <w:szCs w:val="21"/>
          <w:highlight w:val="none"/>
          <w:lang w:bidi="zh-CN"/>
        </w:rPr>
        <w:t>，属于（</w:t>
      </w:r>
      <w:r>
        <w:rPr>
          <w:rFonts w:hint="eastAsia" w:ascii="宋体" w:hAnsi="宋体" w:cs="宋体"/>
          <w:szCs w:val="21"/>
          <w:highlight w:val="none"/>
          <w:u w:val="single"/>
          <w:lang w:bidi="zh-CN"/>
        </w:rPr>
        <w:t>采购文件中明确的所属行业）</w:t>
      </w:r>
      <w:r>
        <w:rPr>
          <w:rFonts w:hint="eastAsia" w:ascii="宋体" w:hAnsi="宋体" w:cs="宋体"/>
          <w:szCs w:val="21"/>
          <w:highlight w:val="none"/>
          <w:lang w:bidi="zh-CN"/>
        </w:rPr>
        <w:t>；承建（承接）企业为</w:t>
      </w:r>
      <w:r>
        <w:rPr>
          <w:rFonts w:hint="eastAsia" w:ascii="宋体" w:hAnsi="宋体" w:cs="宋体"/>
          <w:szCs w:val="21"/>
          <w:highlight w:val="none"/>
          <w:u w:val="single"/>
          <w:lang w:bidi="zh-CN"/>
        </w:rPr>
        <w:t>（企业名称）</w:t>
      </w:r>
      <w:r>
        <w:rPr>
          <w:rFonts w:hint="eastAsia" w:ascii="宋体" w:hAnsi="宋体" w:cs="宋体"/>
          <w:szCs w:val="21"/>
          <w:highlight w:val="none"/>
          <w:lang w:bidi="zh-CN"/>
        </w:rPr>
        <w:t>，从业人员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万元，属于</w:t>
      </w:r>
      <w:r>
        <w:rPr>
          <w:rFonts w:hint="eastAsia" w:ascii="宋体" w:hAnsi="宋体" w:cs="宋体"/>
          <w:szCs w:val="21"/>
          <w:highlight w:val="none"/>
          <w:u w:val="single"/>
          <w:lang w:bidi="zh-CN"/>
        </w:rPr>
        <w:t>（中型企业、小型企业、微型企业）</w:t>
      </w:r>
      <w:r>
        <w:rPr>
          <w:rFonts w:hint="eastAsia" w:ascii="宋体" w:hAnsi="宋体" w:cs="宋体"/>
          <w:szCs w:val="21"/>
          <w:highlight w:val="none"/>
          <w:lang w:bidi="zh-CN"/>
        </w:rPr>
        <w:t>；</w:t>
      </w:r>
    </w:p>
    <w:p w14:paraId="0223F505">
      <w:pPr>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w:t>
      </w:r>
    </w:p>
    <w:p w14:paraId="387B6442">
      <w:pPr>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以上企业，不属于大企业的分支机构，不存在控股股东为大企业的情形，也不存在与大企业的负责人为同一人的情形。</w:t>
      </w:r>
    </w:p>
    <w:p w14:paraId="70C20E98">
      <w:pPr>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本企业对上述声明内容的真实性负责。如有虚假，将依法承担相应责任。</w:t>
      </w:r>
    </w:p>
    <w:p w14:paraId="5FB6CD29">
      <w:pPr>
        <w:spacing w:line="360" w:lineRule="auto"/>
        <w:jc w:val="left"/>
        <w:rPr>
          <w:rFonts w:hint="eastAsia" w:ascii="宋体" w:hAnsi="宋体" w:cs="宋体"/>
          <w:szCs w:val="21"/>
          <w:highlight w:val="none"/>
          <w:lang w:bidi="zh-CN"/>
        </w:rPr>
      </w:pPr>
    </w:p>
    <w:p w14:paraId="02E98620">
      <w:pPr>
        <w:spacing w:line="360" w:lineRule="auto"/>
        <w:jc w:val="left"/>
        <w:rPr>
          <w:rFonts w:hint="eastAsia" w:ascii="宋体" w:hAnsi="宋体" w:cs="宋体"/>
          <w:szCs w:val="21"/>
          <w:highlight w:val="none"/>
          <w:lang w:bidi="zh-CN"/>
        </w:rPr>
      </w:pPr>
      <w:r>
        <w:rPr>
          <w:rFonts w:hint="eastAsia" w:ascii="宋体" w:hAnsi="宋体" w:cs="宋体"/>
          <w:szCs w:val="21"/>
          <w:highlight w:val="none"/>
          <w:lang w:bidi="zh-CN"/>
        </w:rPr>
        <w:t>企业名称（盖章）：</w:t>
      </w:r>
    </w:p>
    <w:p w14:paraId="53CB2023">
      <w:pPr>
        <w:spacing w:line="360" w:lineRule="auto"/>
        <w:jc w:val="left"/>
        <w:rPr>
          <w:rFonts w:hint="eastAsia" w:ascii="宋体" w:hAnsi="宋体" w:cs="宋体"/>
          <w:szCs w:val="21"/>
          <w:highlight w:val="none"/>
          <w:lang w:bidi="zh-CN"/>
        </w:rPr>
      </w:pPr>
      <w:r>
        <w:rPr>
          <w:rFonts w:hint="eastAsia" w:ascii="宋体" w:hAnsi="宋体" w:cs="宋体"/>
          <w:szCs w:val="21"/>
          <w:highlight w:val="none"/>
          <w:lang w:bidi="zh-CN"/>
        </w:rPr>
        <w:t>日期：</w:t>
      </w:r>
    </w:p>
    <w:p w14:paraId="329CC67E">
      <w:pPr>
        <w:spacing w:line="360" w:lineRule="auto"/>
        <w:ind w:firstLine="577"/>
        <w:rPr>
          <w:rFonts w:hint="eastAsia" w:ascii="宋体" w:hAnsi="宋体" w:cs="宋体"/>
          <w:szCs w:val="21"/>
          <w:highlight w:val="none"/>
        </w:rPr>
      </w:pPr>
    </w:p>
    <w:p w14:paraId="4377B035">
      <w:pPr>
        <w:spacing w:line="360" w:lineRule="auto"/>
        <w:ind w:firstLine="577"/>
        <w:rPr>
          <w:rFonts w:hint="eastAsia" w:ascii="宋体" w:hAnsi="宋体" w:cs="宋体"/>
          <w:szCs w:val="21"/>
          <w:highlight w:val="none"/>
        </w:rPr>
      </w:pPr>
    </w:p>
    <w:p w14:paraId="61AFB253">
      <w:pPr>
        <w:spacing w:line="360" w:lineRule="auto"/>
        <w:ind w:firstLine="494"/>
        <w:rPr>
          <w:rFonts w:hint="eastAsia" w:ascii="宋体" w:hAnsi="宋体" w:cs="宋体"/>
          <w:szCs w:val="21"/>
          <w:highlight w:val="none"/>
        </w:rPr>
      </w:pPr>
      <w:r>
        <w:rPr>
          <w:rFonts w:hint="eastAsia" w:ascii="宋体" w:hAnsi="宋体" w:cs="宋体"/>
          <w:szCs w:val="21"/>
          <w:highlight w:val="none"/>
        </w:rPr>
        <w:t>注：</w:t>
      </w:r>
    </w:p>
    <w:p w14:paraId="2C590886">
      <w:pPr>
        <w:spacing w:line="360" w:lineRule="auto"/>
        <w:ind w:firstLine="494"/>
        <w:rPr>
          <w:rFonts w:hint="eastAsia" w:ascii="宋体" w:hAnsi="宋体" w:cs="宋体"/>
          <w:szCs w:val="21"/>
          <w:highlight w:val="none"/>
        </w:rPr>
      </w:pPr>
      <w:r>
        <w:rPr>
          <w:rFonts w:hint="eastAsia" w:ascii="宋体" w:hAnsi="宋体" w:cs="宋体"/>
          <w:szCs w:val="21"/>
          <w:highlight w:val="none"/>
        </w:rPr>
        <w:t>（1）中小企业划分标准以工信部联企业〔2011〕300号通知中的《中小企业划型标准规定》为准。</w:t>
      </w:r>
    </w:p>
    <w:p w14:paraId="6EA8C582">
      <w:pPr>
        <w:spacing w:line="360" w:lineRule="auto"/>
        <w:ind w:firstLine="494"/>
        <w:rPr>
          <w:rFonts w:hint="eastAsia" w:ascii="宋体" w:hAnsi="宋体" w:cs="宋体"/>
          <w:szCs w:val="21"/>
          <w:highlight w:val="none"/>
        </w:rPr>
      </w:pPr>
      <w:r>
        <w:rPr>
          <w:rFonts w:hint="eastAsia" w:ascii="宋体" w:hAnsi="宋体" w:cs="宋体"/>
          <w:szCs w:val="21"/>
          <w:highlight w:val="none"/>
        </w:rPr>
        <w:t>（2）从业人员、营业收入、资产总额填报上一年度数据，无上一年度数据的新成立企业可不填报。</w:t>
      </w:r>
    </w:p>
    <w:p w14:paraId="5BADFB58">
      <w:pPr>
        <w:spacing w:line="360" w:lineRule="auto"/>
        <w:ind w:right="561"/>
        <w:rPr>
          <w:rFonts w:hint="eastAsia" w:ascii="宋体" w:hAnsi="宋体" w:cs="宋体"/>
          <w:szCs w:val="21"/>
          <w:highlight w:val="none"/>
        </w:rPr>
      </w:pPr>
    </w:p>
    <w:p w14:paraId="3C904732">
      <w:pPr>
        <w:spacing w:line="360" w:lineRule="auto"/>
        <w:jc w:val="center"/>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6.残疾人福利性单位声明函（如有）</w:t>
      </w:r>
    </w:p>
    <w:p w14:paraId="0608160B">
      <w:pPr>
        <w:spacing w:line="360" w:lineRule="auto"/>
        <w:ind w:firstLine="480"/>
        <w:rPr>
          <w:rFonts w:hint="eastAsia" w:ascii="宋体" w:hAnsi="宋体" w:cs="宋体"/>
          <w:szCs w:val="21"/>
          <w:highlight w:val="none"/>
        </w:rPr>
      </w:pPr>
      <w:r>
        <w:rPr>
          <w:rFonts w:hint="eastAsia" w:ascii="宋体" w:hAnsi="宋体" w:cs="宋体"/>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项目采购活动提供本单位制造的货物（由本单位承担工程/提供服务），或者提供其他残疾人福利性单位制造的货物（不包括使用非残疾人福利性单位注册商标的货物）。</w:t>
      </w:r>
    </w:p>
    <w:p w14:paraId="7F426568">
      <w:pPr>
        <w:spacing w:line="360" w:lineRule="auto"/>
        <w:ind w:firstLine="480"/>
        <w:rPr>
          <w:rFonts w:hint="eastAsia" w:ascii="宋体" w:hAnsi="宋体" w:cs="宋体"/>
          <w:szCs w:val="21"/>
          <w:highlight w:val="none"/>
        </w:rPr>
      </w:pPr>
      <w:r>
        <w:rPr>
          <w:rFonts w:hint="eastAsia" w:ascii="宋体" w:hAnsi="宋体" w:cs="宋体"/>
          <w:szCs w:val="21"/>
          <w:highlight w:val="none"/>
        </w:rPr>
        <w:t>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圆整（￥：     ）。</w:t>
      </w:r>
    </w:p>
    <w:p w14:paraId="31393693">
      <w:pPr>
        <w:spacing w:line="360" w:lineRule="auto"/>
        <w:ind w:firstLine="480"/>
        <w:rPr>
          <w:rFonts w:hint="eastAsia" w:ascii="宋体" w:hAnsi="宋体" w:cs="宋体"/>
          <w:szCs w:val="21"/>
          <w:highlight w:val="none"/>
        </w:rPr>
      </w:pPr>
      <w:r>
        <w:rPr>
          <w:rFonts w:hint="eastAsia" w:ascii="宋体" w:hAnsi="宋体" w:cs="宋体"/>
          <w:szCs w:val="21"/>
          <w:highlight w:val="none"/>
        </w:rPr>
        <w:t>本单位对上述声明的真实性负责。如有虚假，将依法承担相应责任。</w:t>
      </w:r>
    </w:p>
    <w:p w14:paraId="7AEF7F8A">
      <w:pPr>
        <w:spacing w:line="360" w:lineRule="auto"/>
        <w:ind w:firstLine="480"/>
        <w:rPr>
          <w:rFonts w:hint="eastAsia" w:ascii="宋体" w:hAnsi="宋体" w:cs="宋体"/>
          <w:spacing w:val="6"/>
          <w:szCs w:val="21"/>
          <w:highlight w:val="none"/>
        </w:rPr>
      </w:pPr>
      <w:r>
        <w:rPr>
          <w:rFonts w:hint="eastAsia" w:ascii="宋体" w:hAnsi="宋体" w:cs="宋体"/>
          <w:szCs w:val="21"/>
          <w:highlight w:val="none"/>
        </w:rPr>
        <w:t>（备注：成交供应商为残疾人福利单位的，此声明函将随成交结果同时公告，接受社会监督）</w:t>
      </w:r>
    </w:p>
    <w:p w14:paraId="50FCBEAD">
      <w:pPr>
        <w:tabs>
          <w:tab w:val="left" w:pos="4860"/>
        </w:tabs>
        <w:spacing w:line="360" w:lineRule="auto"/>
        <w:ind w:firstLine="624"/>
        <w:jc w:val="center"/>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p>
    <w:p w14:paraId="0B2BE245">
      <w:pPr>
        <w:tabs>
          <w:tab w:val="left" w:pos="4860"/>
        </w:tabs>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日  期：</w:t>
      </w:r>
    </w:p>
    <w:p w14:paraId="2D94285D">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享受政府采购支持政策的残疾人福利性单位应当同时满足以下条件：</w:t>
      </w:r>
    </w:p>
    <w:p w14:paraId="27DD5393">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（一）安置的残疾人占本单位在职职工人数的比例不低于25%（含25%），并且安置的残疾人人数不少于10人（含10人）；</w:t>
      </w:r>
    </w:p>
    <w:p w14:paraId="70DBF56F">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（二）依法与安置的每位残疾人签订了一年以上（含一年）的劳动合同或服务协议；</w:t>
      </w:r>
    </w:p>
    <w:p w14:paraId="416384A8">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（三）为安置的每位残疾人按月足额缴纳了基本养老保险、基本医疗保险、失业保险、工伤保险和生育保险等社会保险费；</w:t>
      </w:r>
    </w:p>
    <w:p w14:paraId="21E4F913">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（四）通过银行等金融机构向安置的每位残疾人，按月支付了不低于单位所在区县适用的经省级人民政府批准的月最低工资标准的工资；</w:t>
      </w:r>
    </w:p>
    <w:p w14:paraId="683411C9">
      <w:pPr>
        <w:shd w:val="clear" w:color="auto" w:fill="FFFFFF"/>
        <w:spacing w:line="360" w:lineRule="auto"/>
        <w:jc w:val="left"/>
        <w:rPr>
          <w:rFonts w:hint="eastAsia" w:ascii="宋体" w:hAnsi="宋体" w:cs="宋体"/>
          <w:szCs w:val="21"/>
          <w:highlight w:val="none"/>
        </w:rPr>
      </w:pPr>
      <w:r>
        <w:rPr>
          <w:rFonts w:hint="eastAsia" w:ascii="宋体" w:hAnsi="宋体" w:cs="宋体"/>
          <w:szCs w:val="21"/>
          <w:highlight w:val="none"/>
        </w:rPr>
        <w:t>　　（五）提供本单位制造的货物、承担的工程或者服务（以下简称产品），或者提供其他残疾人福利性单位制造的货物（不包括使用非残疾人福利性单位注册商标的货物）。</w:t>
      </w:r>
    </w:p>
    <w:p w14:paraId="309B3B97">
      <w:pPr>
        <w:shd w:val="clear" w:color="auto" w:fill="FFFFFF"/>
        <w:spacing w:line="360" w:lineRule="auto"/>
        <w:ind w:firstLine="480"/>
        <w:jc w:val="left"/>
        <w:rPr>
          <w:rFonts w:hint="eastAsia"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E49D517">
      <w:pPr>
        <w:spacing w:line="360" w:lineRule="auto"/>
        <w:ind w:firstLine="211"/>
        <w:jc w:val="center"/>
        <w:rPr>
          <w:rFonts w:hint="eastAsia" w:ascii="宋体" w:hAnsi="宋体" w:cs="宋体"/>
          <w:b/>
          <w:bCs/>
          <w:szCs w:val="21"/>
          <w:highlight w:val="none"/>
        </w:rPr>
      </w:pPr>
      <w:r>
        <w:rPr>
          <w:rFonts w:hint="eastAsia" w:ascii="宋体" w:hAnsi="宋体" w:cs="宋体"/>
          <w:b/>
          <w:bCs/>
          <w:szCs w:val="21"/>
          <w:highlight w:val="none"/>
        </w:rPr>
        <w:t>7.监狱企业证明函（如有）</w:t>
      </w:r>
    </w:p>
    <w:p w14:paraId="0180A6E8">
      <w:pPr>
        <w:spacing w:line="360" w:lineRule="auto"/>
        <w:jc w:val="center"/>
        <w:rPr>
          <w:rFonts w:hint="eastAsia" w:ascii="宋体" w:hAnsi="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8.磋商响应函</w:t>
      </w:r>
    </w:p>
    <w:p w14:paraId="3F8FB3B3">
      <w:pPr>
        <w:pStyle w:val="27"/>
        <w:adjustRightInd/>
        <w:ind w:firstLine="420"/>
        <w:rPr>
          <w:rFonts w:hint="eastAsia" w:ascii="宋体" w:hAnsi="宋体"/>
          <w:b/>
          <w:bCs/>
          <w:sz w:val="21"/>
          <w:szCs w:val="21"/>
          <w:highlight w:val="none"/>
        </w:rPr>
      </w:pPr>
      <w:r>
        <w:rPr>
          <w:rFonts w:hint="eastAsia" w:ascii="宋体" w:hAnsi="宋体"/>
          <w:sz w:val="21"/>
          <w:szCs w:val="21"/>
          <w:highlight w:val="none"/>
        </w:rPr>
        <w:t>致：</w:t>
      </w:r>
      <w:r>
        <w:rPr>
          <w:rFonts w:hint="eastAsia" w:ascii="宋体" w:hAnsi="宋体"/>
          <w:b/>
          <w:bCs/>
          <w:sz w:val="21"/>
          <w:szCs w:val="21"/>
          <w:highlight w:val="none"/>
          <w:u w:val="single"/>
        </w:rPr>
        <w:t xml:space="preserve">      （采购人名称）   </w:t>
      </w:r>
    </w:p>
    <w:p w14:paraId="06EDB452">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根据贵方的</w:t>
      </w:r>
      <w:r>
        <w:rPr>
          <w:rFonts w:hint="eastAsia" w:ascii="宋体" w:hAnsi="宋体"/>
          <w:sz w:val="21"/>
          <w:szCs w:val="21"/>
          <w:highlight w:val="none"/>
          <w:u w:val="single"/>
        </w:rPr>
        <w:t xml:space="preserve">         </w:t>
      </w:r>
      <w:r>
        <w:rPr>
          <w:rFonts w:hint="eastAsia" w:ascii="宋体" w:hAnsi="宋体"/>
          <w:sz w:val="21"/>
          <w:szCs w:val="21"/>
          <w:highlight w:val="none"/>
        </w:rPr>
        <w:t>号磋商文件，正式授权下述签字人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（姓名和职务）代表我方</w:t>
      </w:r>
      <w:r>
        <w:rPr>
          <w:rFonts w:hint="eastAsia" w:ascii="宋体" w:hAnsi="宋体"/>
          <w:sz w:val="21"/>
          <w:szCs w:val="21"/>
          <w:highlight w:val="none"/>
          <w:u w:val="single"/>
        </w:rPr>
        <w:t xml:space="preserve">                   </w:t>
      </w:r>
      <w:r>
        <w:rPr>
          <w:rFonts w:hint="eastAsia" w:ascii="宋体" w:hAnsi="宋体"/>
          <w:sz w:val="21"/>
          <w:szCs w:val="21"/>
          <w:highlight w:val="none"/>
        </w:rPr>
        <w:t>（供应商的名称），全权处理</w:t>
      </w:r>
      <w:r>
        <w:rPr>
          <w:rFonts w:hint="eastAsia" w:ascii="宋体" w:hAnsi="宋体"/>
          <w:sz w:val="21"/>
          <w:szCs w:val="21"/>
          <w:highlight w:val="none"/>
          <w:u w:val="single"/>
        </w:rPr>
        <w:t xml:space="preserve">              </w:t>
      </w:r>
      <w:r>
        <w:rPr>
          <w:rFonts w:hint="eastAsia" w:ascii="宋体" w:hAnsi="宋体"/>
          <w:sz w:val="21"/>
          <w:szCs w:val="21"/>
          <w:highlight w:val="none"/>
        </w:rPr>
        <w:t>磋商采购的有关事宜。</w:t>
      </w:r>
    </w:p>
    <w:p w14:paraId="682B6802">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据此函，</w:t>
      </w:r>
      <w:r>
        <w:rPr>
          <w:rFonts w:hint="eastAsia" w:ascii="宋体" w:hAnsi="宋体"/>
          <w:sz w:val="21"/>
          <w:szCs w:val="21"/>
          <w:highlight w:val="none"/>
          <w:u w:val="single"/>
        </w:rPr>
        <w:t xml:space="preserve">         </w:t>
      </w:r>
      <w:r>
        <w:rPr>
          <w:rFonts w:hint="eastAsia" w:ascii="宋体" w:hAnsi="宋体"/>
          <w:sz w:val="21"/>
          <w:szCs w:val="21"/>
          <w:highlight w:val="none"/>
        </w:rPr>
        <w:t>（签字人）兹宣布同意如下：</w:t>
      </w:r>
    </w:p>
    <w:p w14:paraId="6441F3BC">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1.按照磋商文件规定的各项要求，向采购人提供所需服务。</w:t>
      </w:r>
    </w:p>
    <w:p w14:paraId="5130596C">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2.我们已详细审核全部磋商文件及其有效补充文件，我们知道必须放弃提出含糊不清或误解问题的权利。</w:t>
      </w:r>
    </w:p>
    <w:p w14:paraId="46E3742D">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3.我们同意从规定的响应文件接收截止时间起遵循本响应文件，并在规定的磋商有效期届满之前均具有约束力。</w:t>
      </w:r>
    </w:p>
    <w:p w14:paraId="1EECCA6D">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4.如果在响应文件接收截止时间后规定的磋商有效期内撤回响应文件或成交后拒绝签订合同，我们自愿接受政府采购监管机构的处理。</w:t>
      </w:r>
    </w:p>
    <w:p w14:paraId="7D1E7689">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5.同意向贵方提供贵方可能另外要求的与磋商采购有关的任何证据或资料，并保证我方已提供和将要提供的文件是真实的、准确的。</w:t>
      </w:r>
    </w:p>
    <w:p w14:paraId="14B655CA">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6.一旦我方成交，我方将根据磋商文件的规定，严格履行合同的责任和义务，并保证在磋商文件规定的时间完成项目，交付采购人验收、使用。</w:t>
      </w:r>
    </w:p>
    <w:p w14:paraId="3205EF24">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7.遵守磋商文件中要求的收费项目和标准。</w:t>
      </w:r>
    </w:p>
    <w:p w14:paraId="28B3F9DE">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8.与本磋商采购有关的正式通讯地址为：</w:t>
      </w:r>
    </w:p>
    <w:p w14:paraId="1B857F8F">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地 址：                         邮 编：</w:t>
      </w:r>
    </w:p>
    <w:p w14:paraId="6B7B567B">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电 话：                         传 真：</w:t>
      </w:r>
    </w:p>
    <w:p w14:paraId="75B19C19">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 xml:space="preserve">供应商开户行：                  账 户： </w:t>
      </w:r>
    </w:p>
    <w:p w14:paraId="39BE6F2E">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法定代表人或授权代表姓名（签字）：     联系电话：</w:t>
      </w:r>
    </w:p>
    <w:p w14:paraId="59BC1A8A">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 xml:space="preserve">供应商名称（公章）：            </w:t>
      </w:r>
    </w:p>
    <w:p w14:paraId="20531061">
      <w:pPr>
        <w:pStyle w:val="34"/>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日 期：</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rPr>
        <w:t>日</w:t>
      </w:r>
    </w:p>
    <w:p w14:paraId="2DA81076">
      <w:pPr>
        <w:spacing w:line="360" w:lineRule="auto"/>
        <w:ind w:firstLine="420" w:firstLineChars="200"/>
        <w:rPr>
          <w:rFonts w:hint="eastAsia" w:ascii="宋体" w:hAnsi="宋体"/>
          <w:szCs w:val="21"/>
          <w:highlight w:val="none"/>
        </w:rPr>
      </w:pPr>
    </w:p>
    <w:p w14:paraId="238C53B0">
      <w:pPr>
        <w:spacing w:line="360" w:lineRule="auto"/>
        <w:ind w:firstLine="420" w:firstLineChars="200"/>
        <w:jc w:val="left"/>
        <w:rPr>
          <w:rFonts w:hint="eastAsia" w:ascii="宋体" w:hAnsi="宋体"/>
          <w:szCs w:val="21"/>
          <w:highlight w:val="none"/>
        </w:rPr>
      </w:pPr>
    </w:p>
    <w:p w14:paraId="59735217">
      <w:pPr>
        <w:spacing w:line="360" w:lineRule="auto"/>
        <w:ind w:firstLine="420" w:firstLineChars="200"/>
        <w:jc w:val="left"/>
        <w:rPr>
          <w:rFonts w:hint="eastAsia" w:ascii="宋体" w:hAnsi="宋体"/>
          <w:szCs w:val="21"/>
          <w:highlight w:val="none"/>
        </w:rPr>
      </w:pPr>
      <w:r>
        <w:rPr>
          <w:rFonts w:ascii="宋体" w:hAnsi="宋体"/>
          <w:szCs w:val="21"/>
          <w:highlight w:val="none"/>
        </w:rPr>
        <w:br w:type="page"/>
      </w:r>
    </w:p>
    <w:p w14:paraId="38211D50">
      <w:pPr>
        <w:spacing w:line="360" w:lineRule="auto"/>
        <w:jc w:val="center"/>
        <w:rPr>
          <w:rFonts w:hint="eastAsia" w:ascii="宋体" w:hAnsi="宋体" w:cs="宋体"/>
          <w:b/>
          <w:szCs w:val="21"/>
          <w:highlight w:val="none"/>
        </w:rPr>
      </w:pPr>
      <w:r>
        <w:rPr>
          <w:rFonts w:hint="eastAsia" w:ascii="宋体" w:hAnsi="宋体" w:cs="宋体"/>
          <w:b/>
          <w:szCs w:val="21"/>
          <w:highlight w:val="none"/>
        </w:rPr>
        <w:t>9.技术条款响应及偏离表</w:t>
      </w:r>
    </w:p>
    <w:p w14:paraId="696E618C">
      <w:pPr>
        <w:spacing w:line="360" w:lineRule="auto"/>
        <w:jc w:val="center"/>
        <w:rPr>
          <w:rFonts w:hint="eastAsia" w:ascii="宋体" w:hAnsi="宋体" w:cs="宋体"/>
          <w:szCs w:val="21"/>
          <w:highlight w:val="none"/>
        </w:rPr>
      </w:pPr>
      <w:r>
        <w:rPr>
          <w:rFonts w:hint="eastAsia" w:ascii="宋体" w:hAnsi="宋体" w:cs="宋体"/>
          <w:szCs w:val="21"/>
          <w:highlight w:val="none"/>
        </w:rPr>
        <w:t>（由响应人据实提交，表格不够自行添加）</w:t>
      </w:r>
    </w:p>
    <w:tbl>
      <w:tblPr>
        <w:tblStyle w:val="2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205199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vAlign w:val="center"/>
          </w:tcPr>
          <w:p w14:paraId="4AA12FBF">
            <w:pPr>
              <w:spacing w:line="360" w:lineRule="auto"/>
              <w:jc w:val="center"/>
              <w:rPr>
                <w:rFonts w:hint="eastAsia" w:ascii="宋体" w:hAnsi="宋体" w:cs="宋体"/>
                <w:szCs w:val="21"/>
                <w:highlight w:val="none"/>
              </w:rPr>
            </w:pPr>
            <w:r>
              <w:rPr>
                <w:rFonts w:hint="eastAsia" w:ascii="宋体" w:hAnsi="宋体" w:cs="宋体"/>
                <w:szCs w:val="21"/>
                <w:highlight w:val="none"/>
              </w:rPr>
              <w:t>序号</w:t>
            </w:r>
          </w:p>
        </w:tc>
        <w:tc>
          <w:tcPr>
            <w:tcW w:w="1267" w:type="dxa"/>
            <w:tcBorders>
              <w:top w:val="single" w:color="000000" w:sz="12" w:space="0"/>
              <w:left w:val="single" w:color="000000" w:sz="6" w:space="0"/>
              <w:bottom w:val="single" w:color="000000" w:sz="6" w:space="0"/>
              <w:right w:val="single" w:color="000000" w:sz="6" w:space="0"/>
            </w:tcBorders>
            <w:vAlign w:val="center"/>
          </w:tcPr>
          <w:p w14:paraId="24B17DD7">
            <w:pPr>
              <w:spacing w:line="360" w:lineRule="auto"/>
              <w:jc w:val="center"/>
              <w:rPr>
                <w:rFonts w:hint="eastAsia" w:ascii="宋体" w:hAnsi="宋体" w:cs="宋体"/>
                <w:szCs w:val="21"/>
                <w:highlight w:val="none"/>
              </w:rPr>
            </w:pPr>
            <w:r>
              <w:rPr>
                <w:rFonts w:hint="eastAsia" w:ascii="宋体" w:hAnsi="宋体" w:cs="宋体"/>
                <w:szCs w:val="21"/>
                <w:highlight w:val="none"/>
              </w:rPr>
              <w:t>项目</w:t>
            </w:r>
          </w:p>
        </w:tc>
        <w:tc>
          <w:tcPr>
            <w:tcW w:w="2392" w:type="dxa"/>
            <w:tcBorders>
              <w:top w:val="single" w:color="000000" w:sz="12" w:space="0"/>
              <w:left w:val="single" w:color="000000" w:sz="6" w:space="0"/>
              <w:bottom w:val="single" w:color="000000" w:sz="6" w:space="0"/>
              <w:right w:val="single" w:color="000000" w:sz="6" w:space="0"/>
            </w:tcBorders>
            <w:vAlign w:val="center"/>
          </w:tcPr>
          <w:p w14:paraId="48357793">
            <w:pPr>
              <w:spacing w:line="360" w:lineRule="auto"/>
              <w:ind w:firstLine="480"/>
              <w:jc w:val="center"/>
              <w:rPr>
                <w:rFonts w:hint="eastAsia" w:ascii="宋体" w:hAnsi="宋体" w:cs="宋体"/>
                <w:szCs w:val="21"/>
                <w:highlight w:val="none"/>
              </w:rPr>
            </w:pPr>
            <w:r>
              <w:rPr>
                <w:rFonts w:hint="eastAsia" w:ascii="宋体" w:hAnsi="宋体" w:cs="宋体"/>
                <w:szCs w:val="21"/>
                <w:highlight w:val="none"/>
              </w:rPr>
              <w:t>磋商文件要求</w:t>
            </w:r>
          </w:p>
        </w:tc>
        <w:tc>
          <w:tcPr>
            <w:tcW w:w="2720" w:type="dxa"/>
            <w:tcBorders>
              <w:top w:val="single" w:color="000000" w:sz="12" w:space="0"/>
              <w:left w:val="single" w:color="000000" w:sz="6" w:space="0"/>
              <w:bottom w:val="single" w:color="000000" w:sz="6" w:space="0"/>
              <w:right w:val="single" w:color="000000" w:sz="6" w:space="0"/>
            </w:tcBorders>
            <w:vAlign w:val="center"/>
          </w:tcPr>
          <w:p w14:paraId="46390D68">
            <w:pPr>
              <w:spacing w:line="360" w:lineRule="auto"/>
              <w:jc w:val="center"/>
              <w:rPr>
                <w:rFonts w:hint="eastAsia" w:ascii="宋体" w:hAnsi="宋体" w:cs="宋体"/>
                <w:szCs w:val="21"/>
                <w:highlight w:val="none"/>
              </w:rPr>
            </w:pPr>
            <w:r>
              <w:rPr>
                <w:rFonts w:hint="eastAsia" w:ascii="宋体" w:hAnsi="宋体" w:cs="宋体"/>
                <w:szCs w:val="21"/>
                <w:highlight w:val="none"/>
              </w:rPr>
              <w:t>响应文件响应情况</w:t>
            </w:r>
          </w:p>
        </w:tc>
        <w:tc>
          <w:tcPr>
            <w:tcW w:w="1417" w:type="dxa"/>
            <w:tcBorders>
              <w:top w:val="single" w:color="000000" w:sz="12" w:space="0"/>
              <w:left w:val="single" w:color="000000" w:sz="6" w:space="0"/>
              <w:bottom w:val="single" w:color="000000" w:sz="6" w:space="0"/>
              <w:right w:val="single" w:color="000000" w:sz="12" w:space="0"/>
            </w:tcBorders>
            <w:vAlign w:val="center"/>
          </w:tcPr>
          <w:p w14:paraId="15C421CE">
            <w:pPr>
              <w:spacing w:line="360" w:lineRule="auto"/>
              <w:jc w:val="center"/>
              <w:rPr>
                <w:rFonts w:hint="eastAsia" w:ascii="宋体" w:hAnsi="宋体" w:cs="宋体"/>
                <w:szCs w:val="21"/>
                <w:highlight w:val="none"/>
              </w:rPr>
            </w:pPr>
            <w:r>
              <w:rPr>
                <w:rFonts w:hint="eastAsia" w:ascii="宋体" w:hAnsi="宋体" w:cs="宋体"/>
                <w:szCs w:val="21"/>
                <w:highlight w:val="none"/>
              </w:rPr>
              <w:t>偏离说明</w:t>
            </w:r>
          </w:p>
        </w:tc>
      </w:tr>
      <w:tr w14:paraId="46CA6B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756F30A9">
            <w:pPr>
              <w:spacing w:line="360" w:lineRule="auto"/>
              <w:jc w:val="center"/>
              <w:rPr>
                <w:rFonts w:hint="eastAsia" w:ascii="宋体" w:hAnsi="宋体" w:cs="宋体"/>
                <w:szCs w:val="21"/>
                <w:highlight w:val="none"/>
              </w:rPr>
            </w:pPr>
            <w:r>
              <w:rPr>
                <w:rFonts w:hint="eastAsia" w:ascii="宋体" w:hAnsi="宋体" w:cs="宋体"/>
                <w:szCs w:val="21"/>
                <w:highlight w:val="none"/>
              </w:rPr>
              <w:t>1</w:t>
            </w:r>
          </w:p>
        </w:tc>
        <w:tc>
          <w:tcPr>
            <w:tcW w:w="1267" w:type="dxa"/>
            <w:tcBorders>
              <w:top w:val="single" w:color="000000" w:sz="6" w:space="0"/>
              <w:left w:val="single" w:color="000000" w:sz="6" w:space="0"/>
              <w:bottom w:val="single" w:color="000000" w:sz="6" w:space="0"/>
              <w:right w:val="single" w:color="000000" w:sz="6" w:space="0"/>
            </w:tcBorders>
            <w:vAlign w:val="center"/>
          </w:tcPr>
          <w:p w14:paraId="45AABC41">
            <w:pPr>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4204E301">
            <w:pPr>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50856B96">
            <w:pPr>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297D4B9C">
            <w:pPr>
              <w:spacing w:line="360" w:lineRule="auto"/>
              <w:ind w:firstLine="480"/>
              <w:rPr>
                <w:rFonts w:hint="eastAsia" w:ascii="宋体" w:hAnsi="宋体" w:cs="宋体"/>
                <w:szCs w:val="21"/>
                <w:highlight w:val="none"/>
              </w:rPr>
            </w:pPr>
          </w:p>
        </w:tc>
      </w:tr>
      <w:tr w14:paraId="19A9E3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5E90A02F">
            <w:pPr>
              <w:spacing w:line="360" w:lineRule="auto"/>
              <w:jc w:val="center"/>
              <w:rPr>
                <w:rFonts w:hint="eastAsia" w:ascii="宋体" w:hAnsi="宋体" w:cs="宋体"/>
                <w:szCs w:val="21"/>
                <w:highlight w:val="none"/>
              </w:rPr>
            </w:pPr>
            <w:r>
              <w:rPr>
                <w:rFonts w:hint="eastAsia" w:ascii="宋体" w:hAnsi="宋体" w:cs="宋体"/>
                <w:szCs w:val="21"/>
                <w:highlight w:val="none"/>
              </w:rPr>
              <w:t>2</w:t>
            </w:r>
          </w:p>
        </w:tc>
        <w:tc>
          <w:tcPr>
            <w:tcW w:w="1267" w:type="dxa"/>
            <w:tcBorders>
              <w:top w:val="single" w:color="000000" w:sz="6" w:space="0"/>
              <w:left w:val="single" w:color="000000" w:sz="6" w:space="0"/>
              <w:bottom w:val="single" w:color="000000" w:sz="6" w:space="0"/>
              <w:right w:val="single" w:color="000000" w:sz="6" w:space="0"/>
            </w:tcBorders>
            <w:vAlign w:val="center"/>
          </w:tcPr>
          <w:p w14:paraId="6D5E25F4">
            <w:pPr>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4FE2FDA5">
            <w:pPr>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52299475">
            <w:pPr>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20312D77">
            <w:pPr>
              <w:spacing w:line="360" w:lineRule="auto"/>
              <w:ind w:firstLine="480"/>
              <w:rPr>
                <w:rFonts w:hint="eastAsia" w:ascii="宋体" w:hAnsi="宋体" w:cs="宋体"/>
                <w:szCs w:val="21"/>
                <w:highlight w:val="none"/>
              </w:rPr>
            </w:pPr>
          </w:p>
        </w:tc>
      </w:tr>
      <w:tr w14:paraId="479EA6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2583EB95">
            <w:pPr>
              <w:spacing w:line="360" w:lineRule="auto"/>
              <w:jc w:val="center"/>
              <w:rPr>
                <w:rFonts w:hint="eastAsia" w:ascii="宋体" w:hAnsi="宋体" w:cs="宋体"/>
                <w:szCs w:val="21"/>
                <w:highlight w:val="none"/>
              </w:rPr>
            </w:pPr>
            <w:r>
              <w:rPr>
                <w:rFonts w:hint="eastAsia" w:ascii="宋体" w:hAnsi="宋体" w:cs="宋体"/>
                <w:szCs w:val="21"/>
                <w:highlight w:val="none"/>
              </w:rPr>
              <w:t>3</w:t>
            </w:r>
          </w:p>
        </w:tc>
        <w:tc>
          <w:tcPr>
            <w:tcW w:w="1267" w:type="dxa"/>
            <w:tcBorders>
              <w:top w:val="single" w:color="000000" w:sz="6" w:space="0"/>
              <w:left w:val="single" w:color="000000" w:sz="6" w:space="0"/>
              <w:bottom w:val="single" w:color="000000" w:sz="6" w:space="0"/>
              <w:right w:val="single" w:color="000000" w:sz="6" w:space="0"/>
            </w:tcBorders>
            <w:vAlign w:val="center"/>
          </w:tcPr>
          <w:p w14:paraId="50F17E95">
            <w:pPr>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5B91F098">
            <w:pPr>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08C7E897">
            <w:pPr>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78329582">
            <w:pPr>
              <w:spacing w:line="360" w:lineRule="auto"/>
              <w:ind w:firstLine="480"/>
              <w:rPr>
                <w:rFonts w:hint="eastAsia" w:ascii="宋体" w:hAnsi="宋体" w:cs="宋体"/>
                <w:szCs w:val="21"/>
                <w:highlight w:val="none"/>
              </w:rPr>
            </w:pPr>
          </w:p>
        </w:tc>
      </w:tr>
      <w:tr w14:paraId="35A906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2C5F68A3">
            <w:pPr>
              <w:spacing w:line="360" w:lineRule="auto"/>
              <w:ind w:firstLine="480"/>
              <w:rPr>
                <w:rFonts w:hint="eastAsia" w:ascii="宋体" w:hAnsi="宋体" w:cs="宋体"/>
                <w:szCs w:val="21"/>
                <w:highlight w:val="none"/>
              </w:rPr>
            </w:pPr>
          </w:p>
        </w:tc>
        <w:tc>
          <w:tcPr>
            <w:tcW w:w="1267" w:type="dxa"/>
            <w:tcBorders>
              <w:top w:val="single" w:color="000000" w:sz="6" w:space="0"/>
              <w:left w:val="single" w:color="000000" w:sz="6" w:space="0"/>
              <w:bottom w:val="single" w:color="000000" w:sz="6" w:space="0"/>
              <w:right w:val="single" w:color="000000" w:sz="6" w:space="0"/>
            </w:tcBorders>
            <w:vAlign w:val="center"/>
          </w:tcPr>
          <w:p w14:paraId="633E0EAD">
            <w:pPr>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5EC5FE67">
            <w:pPr>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6CBDA369">
            <w:pPr>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4232E5DC">
            <w:pPr>
              <w:spacing w:line="360" w:lineRule="auto"/>
              <w:ind w:firstLine="480"/>
              <w:rPr>
                <w:rFonts w:hint="eastAsia" w:ascii="宋体" w:hAnsi="宋体" w:cs="宋体"/>
                <w:szCs w:val="21"/>
                <w:highlight w:val="none"/>
              </w:rPr>
            </w:pPr>
          </w:p>
        </w:tc>
      </w:tr>
    </w:tbl>
    <w:p w14:paraId="3065BE4E">
      <w:pPr>
        <w:spacing w:line="360" w:lineRule="auto"/>
        <w:ind w:firstLine="480"/>
        <w:rPr>
          <w:rFonts w:hint="eastAsia" w:ascii="宋体" w:hAnsi="宋体" w:cs="宋体"/>
          <w:szCs w:val="21"/>
          <w:highlight w:val="none"/>
        </w:rPr>
      </w:pPr>
      <w:r>
        <w:rPr>
          <w:rFonts w:hint="eastAsia" w:ascii="宋体" w:hAnsi="宋体" w:cs="宋体"/>
          <w:szCs w:val="21"/>
          <w:highlight w:val="none"/>
        </w:rPr>
        <w:t>注：</w:t>
      </w:r>
    </w:p>
    <w:p w14:paraId="4A4289BB">
      <w:pPr>
        <w:spacing w:line="360" w:lineRule="auto"/>
        <w:ind w:firstLine="480"/>
        <w:rPr>
          <w:rFonts w:hint="eastAsia" w:ascii="宋体" w:hAnsi="宋体" w:cs="宋体"/>
          <w:szCs w:val="21"/>
          <w:highlight w:val="none"/>
        </w:rPr>
      </w:pPr>
      <w:r>
        <w:rPr>
          <w:rFonts w:hint="eastAsia" w:ascii="宋体" w:hAnsi="宋体" w:cs="宋体"/>
          <w:szCs w:val="21"/>
          <w:highlight w:val="none"/>
        </w:rPr>
        <w:t>1.响应人提交的响应文件中与磋商文件第四章 项目需求中的技术部分的要求有不同时，应逐条填列在偏离表中，否则将视为响应人接受磋商文件的所有要求。完全响应以空白表格列示。</w:t>
      </w:r>
    </w:p>
    <w:p w14:paraId="75AAAB23">
      <w:pPr>
        <w:spacing w:line="360" w:lineRule="auto"/>
        <w:ind w:firstLine="480"/>
        <w:rPr>
          <w:rFonts w:hint="eastAsia" w:ascii="宋体" w:hAnsi="宋体" w:cs="宋体"/>
          <w:szCs w:val="21"/>
          <w:highlight w:val="none"/>
        </w:rPr>
      </w:pPr>
      <w:r>
        <w:rPr>
          <w:rFonts w:hint="eastAsia" w:ascii="宋体" w:hAnsi="宋体" w:cs="宋体"/>
          <w:szCs w:val="21"/>
          <w:highlight w:val="none"/>
        </w:rPr>
        <w:t>2.“偏离说明”一栏选择“正偏离”、“负偏离”进行填写。正偏离的确认和负偏离的是否响应磋商文件，经三分之二评委认定。</w:t>
      </w:r>
    </w:p>
    <w:p w14:paraId="2F74669C">
      <w:pPr>
        <w:spacing w:line="360" w:lineRule="auto"/>
        <w:ind w:firstLine="480"/>
        <w:rPr>
          <w:rFonts w:hint="eastAsia" w:ascii="宋体" w:hAnsi="宋体" w:cs="宋体"/>
          <w:szCs w:val="21"/>
          <w:highlight w:val="none"/>
        </w:rPr>
      </w:pPr>
      <w:r>
        <w:rPr>
          <w:rFonts w:hint="eastAsia" w:ascii="宋体" w:hAnsi="宋体" w:cs="宋体"/>
          <w:szCs w:val="21"/>
          <w:highlight w:val="none"/>
        </w:rPr>
        <w:t>3.响应人如有虚假响应，将承担被暂停参加采购人组织政府采购活动的风险。</w:t>
      </w:r>
    </w:p>
    <w:p w14:paraId="1F91431E">
      <w:pPr>
        <w:spacing w:line="360" w:lineRule="auto"/>
        <w:ind w:firstLine="480"/>
        <w:rPr>
          <w:rFonts w:hint="eastAsia" w:ascii="宋体" w:hAnsi="宋体" w:cs="宋体"/>
          <w:szCs w:val="21"/>
          <w:highlight w:val="none"/>
        </w:rPr>
      </w:pPr>
      <w:r>
        <w:rPr>
          <w:rFonts w:hint="eastAsia" w:ascii="宋体" w:hAnsi="宋体" w:cs="宋体"/>
          <w:szCs w:val="21"/>
          <w:highlight w:val="none"/>
        </w:rPr>
        <w:t>4.供应商若提供其他增值服务，可以在表中自行据实填写。</w:t>
      </w:r>
    </w:p>
    <w:p w14:paraId="22C8A493">
      <w:pPr>
        <w:spacing w:line="360" w:lineRule="auto"/>
        <w:ind w:firstLine="480"/>
        <w:rPr>
          <w:rFonts w:hint="eastAsia" w:ascii="宋体" w:hAnsi="宋体" w:cs="宋体"/>
          <w:szCs w:val="21"/>
          <w:highlight w:val="none"/>
        </w:rPr>
      </w:pPr>
    </w:p>
    <w:p w14:paraId="065E6A9B">
      <w:pPr>
        <w:spacing w:line="360" w:lineRule="auto"/>
        <w:ind w:firstLine="480"/>
        <w:rPr>
          <w:rFonts w:hint="eastAsia" w:ascii="宋体" w:hAnsi="宋体" w:cs="宋体"/>
          <w:szCs w:val="21"/>
          <w:highlight w:val="none"/>
        </w:rPr>
      </w:pPr>
    </w:p>
    <w:p w14:paraId="6F2C6F8F">
      <w:pPr>
        <w:spacing w:line="360" w:lineRule="auto"/>
        <w:ind w:firstLine="4674" w:firstLineChars="2226"/>
        <w:rPr>
          <w:rFonts w:hint="eastAsia" w:ascii="宋体" w:hAnsi="宋体" w:cs="宋体"/>
          <w:szCs w:val="21"/>
          <w:highlight w:val="none"/>
        </w:rPr>
      </w:pPr>
      <w:r>
        <w:rPr>
          <w:rFonts w:hint="eastAsia" w:ascii="宋体" w:hAnsi="宋体" w:cs="宋体"/>
          <w:szCs w:val="21"/>
          <w:highlight w:val="none"/>
        </w:rPr>
        <w:t>供应商名称（盖章）：</w:t>
      </w:r>
    </w:p>
    <w:p w14:paraId="16C0A415">
      <w:pPr>
        <w:spacing w:line="360" w:lineRule="auto"/>
        <w:ind w:firstLine="4674" w:firstLineChars="2226"/>
        <w:rPr>
          <w:rFonts w:hint="eastAsia" w:ascii="宋体" w:hAnsi="宋体" w:cs="宋体"/>
          <w:szCs w:val="21"/>
          <w:highlight w:val="none"/>
        </w:rPr>
      </w:pPr>
      <w:r>
        <w:rPr>
          <w:rFonts w:hint="eastAsia" w:ascii="宋体" w:hAnsi="宋体" w:cs="宋体"/>
          <w:szCs w:val="21"/>
          <w:highlight w:val="none"/>
        </w:rPr>
        <w:t>法人或授权委托人（签字或盖章）：</w:t>
      </w:r>
    </w:p>
    <w:p w14:paraId="77637917">
      <w:pPr>
        <w:spacing w:line="360" w:lineRule="auto"/>
        <w:ind w:firstLine="4830" w:firstLineChars="2300"/>
        <w:rPr>
          <w:rFonts w:hint="eastAsia" w:ascii="宋体" w:hAnsi="宋体" w:cs="宋体"/>
          <w:szCs w:val="21"/>
          <w:highlight w:val="none"/>
        </w:rPr>
      </w:pPr>
      <w:r>
        <w:rPr>
          <w:rFonts w:hint="eastAsia" w:ascii="宋体" w:hAnsi="宋体" w:cs="宋体"/>
          <w:szCs w:val="21"/>
          <w:highlight w:val="none"/>
        </w:rPr>
        <w:t>日期：</w:t>
      </w:r>
    </w:p>
    <w:p w14:paraId="3E2961CA">
      <w:pPr>
        <w:spacing w:line="360" w:lineRule="auto"/>
        <w:ind w:firstLine="420" w:firstLineChars="200"/>
        <w:contextualSpacing/>
        <w:rPr>
          <w:rFonts w:hint="eastAsia" w:ascii="宋体" w:hAnsi="宋体" w:cs="宋体"/>
          <w:bCs/>
          <w:szCs w:val="21"/>
          <w:highlight w:val="none"/>
        </w:rPr>
      </w:pPr>
    </w:p>
    <w:p w14:paraId="549954BA">
      <w:pPr>
        <w:spacing w:line="360" w:lineRule="auto"/>
        <w:ind w:firstLine="420" w:firstLineChars="200"/>
        <w:rPr>
          <w:rFonts w:hint="eastAsia" w:ascii="宋体" w:hAnsi="宋体" w:cs="宋体"/>
          <w:bCs/>
          <w:szCs w:val="21"/>
          <w:highlight w:val="none"/>
        </w:rPr>
        <w:sectPr>
          <w:pgSz w:w="11906" w:h="16838"/>
          <w:pgMar w:top="1440" w:right="1800" w:bottom="1440" w:left="1800" w:header="851" w:footer="992" w:gutter="0"/>
          <w:cols w:space="720" w:num="1"/>
          <w:docGrid w:type="lines" w:linePitch="312" w:charSpace="0"/>
        </w:sectPr>
      </w:pPr>
    </w:p>
    <w:p w14:paraId="19545550">
      <w:pPr>
        <w:pStyle w:val="35"/>
        <w:spacing w:line="360" w:lineRule="auto"/>
        <w:ind w:left="0" w:firstLine="0"/>
        <w:jc w:val="center"/>
        <w:rPr>
          <w:rFonts w:hint="eastAsia" w:ascii="宋体" w:hAnsi="宋体" w:cs="宋体"/>
          <w:sz w:val="21"/>
          <w:szCs w:val="21"/>
          <w:highlight w:val="none"/>
        </w:rPr>
      </w:pPr>
      <w:bookmarkStart w:id="110" w:name="_Toc15683"/>
      <w:bookmarkStart w:id="111" w:name="_Toc20755"/>
      <w:r>
        <w:rPr>
          <w:rFonts w:hint="eastAsia" w:ascii="宋体" w:hAnsi="宋体" w:cs="宋体"/>
          <w:sz w:val="21"/>
          <w:szCs w:val="21"/>
          <w:highlight w:val="none"/>
        </w:rPr>
        <w:t>10.商务条款响应及偏离表</w:t>
      </w:r>
      <w:bookmarkEnd w:id="110"/>
      <w:bookmarkEnd w:id="111"/>
    </w:p>
    <w:tbl>
      <w:tblPr>
        <w:tblStyle w:val="2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095AC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359AD90">
            <w:pPr>
              <w:snapToGrid w:val="0"/>
              <w:spacing w:before="156" w:beforeLines="50" w:line="360" w:lineRule="auto"/>
              <w:jc w:val="center"/>
              <w:rPr>
                <w:szCs w:val="21"/>
                <w:highlight w:val="none"/>
              </w:rPr>
            </w:pPr>
            <w:r>
              <w:rPr>
                <w:szCs w:val="21"/>
                <w:highlight w:val="none"/>
              </w:rPr>
              <w:t>序号</w:t>
            </w:r>
          </w:p>
        </w:tc>
        <w:tc>
          <w:tcPr>
            <w:tcW w:w="2008" w:type="dxa"/>
            <w:tcBorders>
              <w:top w:val="single" w:color="auto" w:sz="4" w:space="0"/>
              <w:left w:val="single" w:color="auto" w:sz="4" w:space="0"/>
              <w:bottom w:val="single" w:color="auto" w:sz="4" w:space="0"/>
              <w:right w:val="single" w:color="auto" w:sz="4" w:space="0"/>
            </w:tcBorders>
            <w:vAlign w:val="center"/>
          </w:tcPr>
          <w:p w14:paraId="32643C70">
            <w:pPr>
              <w:snapToGrid w:val="0"/>
              <w:spacing w:before="156" w:beforeLines="50" w:line="360" w:lineRule="auto"/>
              <w:jc w:val="center"/>
              <w:rPr>
                <w:szCs w:val="21"/>
                <w:highlight w:val="none"/>
              </w:rPr>
            </w:pPr>
            <w:r>
              <w:rPr>
                <w:szCs w:val="21"/>
                <w:highlight w:val="none"/>
              </w:rPr>
              <w:t>项目</w:t>
            </w:r>
          </w:p>
        </w:tc>
        <w:tc>
          <w:tcPr>
            <w:tcW w:w="2127" w:type="dxa"/>
            <w:tcBorders>
              <w:top w:val="single" w:color="auto" w:sz="4" w:space="0"/>
              <w:left w:val="single" w:color="auto" w:sz="4" w:space="0"/>
              <w:bottom w:val="single" w:color="auto" w:sz="4" w:space="0"/>
              <w:right w:val="single" w:color="auto" w:sz="4" w:space="0"/>
            </w:tcBorders>
            <w:vAlign w:val="center"/>
          </w:tcPr>
          <w:p w14:paraId="4A6F6755">
            <w:pPr>
              <w:snapToGrid w:val="0"/>
              <w:spacing w:before="156" w:beforeLines="50" w:line="360" w:lineRule="auto"/>
              <w:jc w:val="center"/>
              <w:rPr>
                <w:szCs w:val="21"/>
                <w:highlight w:val="none"/>
              </w:rPr>
            </w:pPr>
            <w:r>
              <w:rPr>
                <w:rFonts w:hint="eastAsia"/>
                <w:szCs w:val="21"/>
                <w:highlight w:val="none"/>
              </w:rPr>
              <w:t>磋商文件</w:t>
            </w:r>
            <w:r>
              <w:rPr>
                <w:szCs w:val="21"/>
                <w:highlight w:val="none"/>
              </w:rPr>
              <w:t>要求</w:t>
            </w:r>
          </w:p>
        </w:tc>
        <w:tc>
          <w:tcPr>
            <w:tcW w:w="1659" w:type="dxa"/>
            <w:tcBorders>
              <w:top w:val="single" w:color="auto" w:sz="4" w:space="0"/>
              <w:left w:val="single" w:color="auto" w:sz="4" w:space="0"/>
              <w:bottom w:val="single" w:color="auto" w:sz="4" w:space="0"/>
              <w:right w:val="single" w:color="auto" w:sz="4" w:space="0"/>
            </w:tcBorders>
            <w:vAlign w:val="center"/>
          </w:tcPr>
          <w:p w14:paraId="2EDC0F22">
            <w:pPr>
              <w:spacing w:line="360" w:lineRule="auto"/>
              <w:jc w:val="center"/>
              <w:rPr>
                <w:szCs w:val="21"/>
                <w:highlight w:val="none"/>
              </w:rPr>
            </w:pPr>
            <w:r>
              <w:rPr>
                <w:rFonts w:hint="eastAsia" w:ascii="宋体" w:hAnsi="宋体" w:cs="宋体"/>
                <w:szCs w:val="21"/>
                <w:highlight w:val="none"/>
              </w:rPr>
              <w:t>响应文件响应情况</w:t>
            </w:r>
          </w:p>
        </w:tc>
        <w:tc>
          <w:tcPr>
            <w:tcW w:w="1884" w:type="dxa"/>
            <w:tcBorders>
              <w:top w:val="single" w:color="auto" w:sz="4" w:space="0"/>
              <w:left w:val="single" w:color="auto" w:sz="4" w:space="0"/>
              <w:bottom w:val="single" w:color="auto" w:sz="4" w:space="0"/>
              <w:right w:val="single" w:color="auto" w:sz="4" w:space="0"/>
            </w:tcBorders>
            <w:vAlign w:val="center"/>
          </w:tcPr>
          <w:p w14:paraId="4B3D4A5E">
            <w:pPr>
              <w:spacing w:line="360" w:lineRule="auto"/>
              <w:jc w:val="center"/>
              <w:rPr>
                <w:szCs w:val="21"/>
                <w:highlight w:val="none"/>
              </w:rPr>
            </w:pPr>
            <w:r>
              <w:rPr>
                <w:rFonts w:hint="eastAsia" w:ascii="宋体" w:hAnsi="宋体" w:cs="宋体"/>
                <w:szCs w:val="21"/>
                <w:highlight w:val="none"/>
              </w:rPr>
              <w:t>偏离说明</w:t>
            </w:r>
          </w:p>
        </w:tc>
      </w:tr>
      <w:tr w14:paraId="78606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AD5187C">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1</w:t>
            </w:r>
          </w:p>
        </w:tc>
        <w:tc>
          <w:tcPr>
            <w:tcW w:w="2008" w:type="dxa"/>
            <w:tcBorders>
              <w:top w:val="single" w:color="auto" w:sz="4" w:space="0"/>
              <w:left w:val="single" w:color="auto" w:sz="4" w:space="0"/>
              <w:bottom w:val="single" w:color="auto" w:sz="4" w:space="0"/>
              <w:right w:val="single" w:color="auto" w:sz="4" w:space="0"/>
            </w:tcBorders>
            <w:vAlign w:val="center"/>
          </w:tcPr>
          <w:p w14:paraId="5C1954F7">
            <w:pPr>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合同履行期限</w:t>
            </w:r>
          </w:p>
        </w:tc>
        <w:tc>
          <w:tcPr>
            <w:tcW w:w="2127" w:type="dxa"/>
            <w:tcBorders>
              <w:top w:val="single" w:color="auto" w:sz="4" w:space="0"/>
              <w:left w:val="single" w:color="auto" w:sz="4" w:space="0"/>
              <w:bottom w:val="single" w:color="auto" w:sz="4" w:space="0"/>
              <w:right w:val="single" w:color="auto" w:sz="4" w:space="0"/>
            </w:tcBorders>
            <w:vAlign w:val="center"/>
          </w:tcPr>
          <w:p w14:paraId="52DD74C0">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14D4CE9B">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4306D684">
            <w:pPr>
              <w:snapToGrid w:val="0"/>
              <w:spacing w:before="156" w:beforeLines="50" w:line="360" w:lineRule="auto"/>
              <w:rPr>
                <w:szCs w:val="21"/>
                <w:highlight w:val="none"/>
              </w:rPr>
            </w:pPr>
          </w:p>
        </w:tc>
      </w:tr>
      <w:tr w14:paraId="35E5CD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56A135C">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2</w:t>
            </w:r>
          </w:p>
        </w:tc>
        <w:tc>
          <w:tcPr>
            <w:tcW w:w="2008" w:type="dxa"/>
            <w:tcBorders>
              <w:top w:val="single" w:color="auto" w:sz="4" w:space="0"/>
              <w:left w:val="single" w:color="auto" w:sz="4" w:space="0"/>
              <w:bottom w:val="single" w:color="auto" w:sz="4" w:space="0"/>
              <w:right w:val="single" w:color="auto" w:sz="4" w:space="0"/>
            </w:tcBorders>
            <w:vAlign w:val="center"/>
          </w:tcPr>
          <w:p w14:paraId="7175694A">
            <w:pPr>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服务地点</w:t>
            </w:r>
          </w:p>
        </w:tc>
        <w:tc>
          <w:tcPr>
            <w:tcW w:w="2127" w:type="dxa"/>
            <w:tcBorders>
              <w:top w:val="single" w:color="auto" w:sz="4" w:space="0"/>
              <w:left w:val="single" w:color="auto" w:sz="4" w:space="0"/>
              <w:bottom w:val="single" w:color="auto" w:sz="4" w:space="0"/>
              <w:right w:val="single" w:color="auto" w:sz="4" w:space="0"/>
            </w:tcBorders>
            <w:vAlign w:val="center"/>
          </w:tcPr>
          <w:p w14:paraId="405536EA">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202892BD">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4F922D6F">
            <w:pPr>
              <w:snapToGrid w:val="0"/>
              <w:spacing w:before="156" w:beforeLines="50" w:line="360" w:lineRule="auto"/>
              <w:rPr>
                <w:szCs w:val="21"/>
                <w:highlight w:val="none"/>
              </w:rPr>
            </w:pPr>
          </w:p>
        </w:tc>
      </w:tr>
      <w:tr w14:paraId="21E43D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C15CA9A">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3</w:t>
            </w:r>
          </w:p>
        </w:tc>
        <w:tc>
          <w:tcPr>
            <w:tcW w:w="2008" w:type="dxa"/>
            <w:tcBorders>
              <w:top w:val="single" w:color="auto" w:sz="4" w:space="0"/>
              <w:left w:val="single" w:color="auto" w:sz="4" w:space="0"/>
              <w:bottom w:val="single" w:color="auto" w:sz="4" w:space="0"/>
              <w:right w:val="single" w:color="auto" w:sz="4" w:space="0"/>
            </w:tcBorders>
            <w:vAlign w:val="center"/>
          </w:tcPr>
          <w:p w14:paraId="7B0A6390">
            <w:pPr>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付款方式</w:t>
            </w:r>
          </w:p>
        </w:tc>
        <w:tc>
          <w:tcPr>
            <w:tcW w:w="2127" w:type="dxa"/>
            <w:tcBorders>
              <w:top w:val="single" w:color="auto" w:sz="4" w:space="0"/>
              <w:left w:val="single" w:color="auto" w:sz="4" w:space="0"/>
              <w:bottom w:val="single" w:color="auto" w:sz="4" w:space="0"/>
              <w:right w:val="single" w:color="auto" w:sz="4" w:space="0"/>
            </w:tcBorders>
            <w:vAlign w:val="center"/>
          </w:tcPr>
          <w:p w14:paraId="589A818C">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3A68C9FA">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611947CC">
            <w:pPr>
              <w:snapToGrid w:val="0"/>
              <w:spacing w:before="156" w:beforeLines="50" w:line="360" w:lineRule="auto"/>
              <w:rPr>
                <w:szCs w:val="21"/>
                <w:highlight w:val="none"/>
              </w:rPr>
            </w:pPr>
          </w:p>
        </w:tc>
      </w:tr>
      <w:tr w14:paraId="499F64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C2B0DCB">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4</w:t>
            </w:r>
          </w:p>
        </w:tc>
        <w:tc>
          <w:tcPr>
            <w:tcW w:w="2008" w:type="dxa"/>
            <w:tcBorders>
              <w:top w:val="single" w:color="auto" w:sz="4" w:space="0"/>
              <w:left w:val="single" w:color="auto" w:sz="4" w:space="0"/>
              <w:bottom w:val="single" w:color="auto" w:sz="4" w:space="0"/>
              <w:right w:val="single" w:color="auto" w:sz="4" w:space="0"/>
            </w:tcBorders>
            <w:vAlign w:val="center"/>
          </w:tcPr>
          <w:p w14:paraId="2ABCFA64">
            <w:pPr>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投标货币</w:t>
            </w:r>
          </w:p>
        </w:tc>
        <w:tc>
          <w:tcPr>
            <w:tcW w:w="2127" w:type="dxa"/>
            <w:tcBorders>
              <w:top w:val="single" w:color="auto" w:sz="4" w:space="0"/>
              <w:left w:val="single" w:color="auto" w:sz="4" w:space="0"/>
              <w:bottom w:val="single" w:color="auto" w:sz="4" w:space="0"/>
              <w:right w:val="single" w:color="auto" w:sz="4" w:space="0"/>
            </w:tcBorders>
            <w:vAlign w:val="center"/>
          </w:tcPr>
          <w:p w14:paraId="2EDE9968">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2CB004C6">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7B3D92C">
            <w:pPr>
              <w:snapToGrid w:val="0"/>
              <w:spacing w:before="156" w:beforeLines="50" w:line="360" w:lineRule="auto"/>
              <w:rPr>
                <w:szCs w:val="21"/>
                <w:highlight w:val="none"/>
              </w:rPr>
            </w:pPr>
          </w:p>
        </w:tc>
      </w:tr>
      <w:tr w14:paraId="207BF6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2DF2B31">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46889C1D">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01D9EFEA">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20D5934A">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C8048F7">
            <w:pPr>
              <w:snapToGrid w:val="0"/>
              <w:spacing w:before="156" w:beforeLines="50" w:line="360" w:lineRule="auto"/>
              <w:rPr>
                <w:szCs w:val="21"/>
                <w:highlight w:val="none"/>
              </w:rPr>
            </w:pPr>
          </w:p>
        </w:tc>
      </w:tr>
      <w:tr w14:paraId="2E223E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EA6FDF7">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7769BEB3">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2EC5CE4B">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7587D10F">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66C2707">
            <w:pPr>
              <w:snapToGrid w:val="0"/>
              <w:spacing w:before="156" w:beforeLines="50" w:line="360" w:lineRule="auto"/>
              <w:rPr>
                <w:szCs w:val="21"/>
                <w:highlight w:val="none"/>
              </w:rPr>
            </w:pPr>
          </w:p>
        </w:tc>
      </w:tr>
      <w:tr w14:paraId="567E9A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2B2E144">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5378F386">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62234567">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7E2A6591">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B87741F">
            <w:pPr>
              <w:snapToGrid w:val="0"/>
              <w:spacing w:before="156" w:beforeLines="50" w:line="360" w:lineRule="auto"/>
              <w:rPr>
                <w:szCs w:val="21"/>
                <w:highlight w:val="none"/>
              </w:rPr>
            </w:pPr>
          </w:p>
        </w:tc>
      </w:tr>
      <w:tr w14:paraId="3BA783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1F0BD60">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1B9DFF31">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1753C32F">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0373A763">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06E9351E">
            <w:pPr>
              <w:snapToGrid w:val="0"/>
              <w:spacing w:before="156" w:beforeLines="50" w:line="360" w:lineRule="auto"/>
              <w:rPr>
                <w:szCs w:val="21"/>
                <w:highlight w:val="none"/>
              </w:rPr>
            </w:pPr>
          </w:p>
        </w:tc>
      </w:tr>
      <w:tr w14:paraId="574D6D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46EDF9D">
            <w:pPr>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4C855BA2">
            <w:pPr>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33192846">
            <w:pPr>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672AD7C6">
            <w:pPr>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1A4B8AB">
            <w:pPr>
              <w:snapToGrid w:val="0"/>
              <w:spacing w:before="156" w:beforeLines="50" w:line="360" w:lineRule="auto"/>
              <w:rPr>
                <w:szCs w:val="21"/>
                <w:highlight w:val="none"/>
              </w:rPr>
            </w:pPr>
          </w:p>
        </w:tc>
      </w:tr>
    </w:tbl>
    <w:p w14:paraId="50812BBF">
      <w:pPr>
        <w:pStyle w:val="7"/>
        <w:spacing w:line="360" w:lineRule="auto"/>
        <w:ind w:firstLine="4200" w:firstLineChars="2000"/>
        <w:rPr>
          <w:szCs w:val="21"/>
          <w:highlight w:val="none"/>
        </w:rPr>
      </w:pPr>
      <w:r>
        <w:rPr>
          <w:rFonts w:hint="eastAsia"/>
          <w:szCs w:val="21"/>
          <w:highlight w:val="none"/>
        </w:rPr>
        <w:t xml:space="preserve">投标人名称（公章）：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p>
    <w:p w14:paraId="06781801">
      <w:pPr>
        <w:pStyle w:val="7"/>
        <w:spacing w:line="360" w:lineRule="auto"/>
        <w:ind w:firstLineChars="200"/>
        <w:rPr>
          <w:szCs w:val="21"/>
          <w:highlight w:val="none"/>
        </w:rPr>
      </w:pPr>
    </w:p>
    <w:p w14:paraId="483D9B21">
      <w:pPr>
        <w:spacing w:line="360" w:lineRule="auto"/>
        <w:ind w:hanging="315"/>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年</w:t>
      </w:r>
      <w:r>
        <w:rPr>
          <w:rFonts w:hint="eastAsia"/>
          <w:szCs w:val="21"/>
          <w:highlight w:val="none"/>
        </w:rPr>
        <w:t xml:space="preserve">  </w:t>
      </w:r>
      <w:r>
        <w:rPr>
          <w:szCs w:val="21"/>
          <w:highlight w:val="none"/>
        </w:rPr>
        <w:t>月</w:t>
      </w:r>
      <w:r>
        <w:rPr>
          <w:rFonts w:hint="eastAsia"/>
          <w:szCs w:val="21"/>
          <w:highlight w:val="none"/>
        </w:rPr>
        <w:t xml:space="preserve">   </w:t>
      </w:r>
      <w:r>
        <w:rPr>
          <w:szCs w:val="21"/>
          <w:highlight w:val="none"/>
        </w:rPr>
        <w:t>日</w:t>
      </w:r>
    </w:p>
    <w:p w14:paraId="7E7526BD">
      <w:pPr>
        <w:spacing w:line="360" w:lineRule="auto"/>
        <w:rPr>
          <w:rFonts w:hint="eastAsia" w:ascii="宋体" w:hAnsi="宋体" w:cs="宋体"/>
          <w:b/>
          <w:bCs/>
          <w:sz w:val="24"/>
          <w:highlight w:val="none"/>
        </w:rPr>
        <w:sectPr>
          <w:pgSz w:w="11906" w:h="16838"/>
          <w:pgMar w:top="1440" w:right="1800" w:bottom="1440" w:left="1800" w:header="851" w:footer="992" w:gutter="0"/>
          <w:cols w:space="720" w:num="1"/>
          <w:docGrid w:type="lines" w:linePitch="312" w:charSpace="0"/>
        </w:sectPr>
      </w:pPr>
    </w:p>
    <w:bookmarkEnd w:id="103"/>
    <w:bookmarkEnd w:id="104"/>
    <w:bookmarkEnd w:id="105"/>
    <w:bookmarkEnd w:id="106"/>
    <w:p w14:paraId="6F5C141F">
      <w:pPr>
        <w:spacing w:line="360" w:lineRule="auto"/>
        <w:jc w:val="center"/>
        <w:rPr>
          <w:rFonts w:hint="eastAsia" w:ascii="宋体" w:hAnsi="宋体"/>
          <w:b/>
          <w:szCs w:val="21"/>
          <w:highlight w:val="none"/>
        </w:rPr>
      </w:pPr>
      <w:r>
        <w:rPr>
          <w:rFonts w:hint="eastAsia" w:ascii="宋体" w:hAnsi="宋体"/>
          <w:b/>
          <w:szCs w:val="21"/>
          <w:highlight w:val="none"/>
        </w:rPr>
        <w:t>11.项目组成人员表</w:t>
      </w:r>
    </w:p>
    <w:p w14:paraId="3A7CE605">
      <w:pPr>
        <w:spacing w:line="360" w:lineRule="auto"/>
        <w:rPr>
          <w:rFonts w:hint="eastAsia" w:ascii="宋体" w:hAnsi="宋体"/>
          <w:szCs w:val="21"/>
          <w:highlight w:val="none"/>
        </w:rPr>
      </w:pPr>
    </w:p>
    <w:tbl>
      <w:tblPr>
        <w:tblStyle w:val="20"/>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1953627D">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vAlign w:val="center"/>
          </w:tcPr>
          <w:p w14:paraId="649111ED">
            <w:pPr>
              <w:widowControl/>
              <w:spacing w:line="360" w:lineRule="auto"/>
              <w:jc w:val="center"/>
              <w:rPr>
                <w:rFonts w:hint="eastAsia" w:ascii="宋体" w:hAnsi="宋体" w:cs="宋体"/>
                <w:szCs w:val="21"/>
                <w:highlight w:val="none"/>
              </w:rPr>
            </w:pPr>
            <w:r>
              <w:rPr>
                <w:rFonts w:hint="eastAsia" w:ascii="宋体" w:hAnsi="宋体" w:cs="宋体"/>
                <w:szCs w:val="21"/>
                <w:highlight w:val="none"/>
              </w:rPr>
              <w:t>岗位</w:t>
            </w:r>
          </w:p>
        </w:tc>
        <w:tc>
          <w:tcPr>
            <w:tcW w:w="1134" w:type="dxa"/>
            <w:vMerge w:val="restart"/>
            <w:tcBorders>
              <w:top w:val="single" w:color="auto" w:sz="8" w:space="0"/>
              <w:left w:val="single" w:color="auto" w:sz="8" w:space="0"/>
              <w:bottom w:val="single" w:color="000000" w:sz="8" w:space="0"/>
              <w:right w:val="single" w:color="auto" w:sz="8" w:space="0"/>
            </w:tcBorders>
            <w:vAlign w:val="center"/>
          </w:tcPr>
          <w:p w14:paraId="2C698F36">
            <w:pPr>
              <w:widowControl/>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933" w:type="dxa"/>
            <w:vMerge w:val="restart"/>
            <w:tcBorders>
              <w:top w:val="single" w:color="auto" w:sz="8" w:space="0"/>
              <w:left w:val="single" w:color="auto" w:sz="8" w:space="0"/>
              <w:bottom w:val="single" w:color="000000" w:sz="8" w:space="0"/>
              <w:right w:val="single" w:color="auto" w:sz="8" w:space="0"/>
            </w:tcBorders>
            <w:vAlign w:val="center"/>
          </w:tcPr>
          <w:p w14:paraId="68A7C37C">
            <w:pPr>
              <w:widowControl/>
              <w:spacing w:line="360" w:lineRule="auto"/>
              <w:jc w:val="center"/>
              <w:rPr>
                <w:rFonts w:hint="eastAsia" w:ascii="宋体" w:hAnsi="宋体" w:cs="宋体"/>
                <w:szCs w:val="21"/>
                <w:highlight w:val="none"/>
              </w:rPr>
            </w:pPr>
            <w:r>
              <w:rPr>
                <w:rFonts w:hint="eastAsia" w:ascii="宋体" w:hAnsi="宋体" w:cs="宋体"/>
                <w:szCs w:val="21"/>
                <w:highlight w:val="none"/>
              </w:rPr>
              <w:t>性别</w:t>
            </w:r>
          </w:p>
        </w:tc>
        <w:tc>
          <w:tcPr>
            <w:tcW w:w="1276" w:type="dxa"/>
            <w:vMerge w:val="restart"/>
            <w:tcBorders>
              <w:top w:val="single" w:color="auto" w:sz="8" w:space="0"/>
              <w:left w:val="single" w:color="auto" w:sz="8" w:space="0"/>
              <w:bottom w:val="single" w:color="000000" w:sz="8" w:space="0"/>
              <w:right w:val="single" w:color="auto" w:sz="8" w:space="0"/>
            </w:tcBorders>
            <w:vAlign w:val="center"/>
          </w:tcPr>
          <w:p w14:paraId="07036715">
            <w:pPr>
              <w:widowControl/>
              <w:spacing w:line="360" w:lineRule="auto"/>
              <w:jc w:val="center"/>
              <w:rPr>
                <w:rFonts w:hint="eastAsia" w:ascii="宋体" w:hAnsi="宋体" w:cs="宋体"/>
                <w:szCs w:val="21"/>
                <w:highlight w:val="none"/>
              </w:rPr>
            </w:pPr>
            <w:r>
              <w:rPr>
                <w:rFonts w:hint="eastAsia" w:ascii="宋体" w:hAnsi="宋体" w:cs="宋体"/>
                <w:szCs w:val="21"/>
                <w:highlight w:val="none"/>
              </w:rPr>
              <w:t>年龄</w:t>
            </w:r>
          </w:p>
        </w:tc>
        <w:tc>
          <w:tcPr>
            <w:tcW w:w="1276" w:type="dxa"/>
            <w:vMerge w:val="restart"/>
            <w:tcBorders>
              <w:top w:val="single" w:color="auto" w:sz="8" w:space="0"/>
              <w:left w:val="single" w:color="auto" w:sz="8" w:space="0"/>
              <w:bottom w:val="single" w:color="000000" w:sz="8" w:space="0"/>
              <w:right w:val="single" w:color="auto" w:sz="8" w:space="0"/>
            </w:tcBorders>
            <w:vAlign w:val="center"/>
          </w:tcPr>
          <w:p w14:paraId="28964DD9">
            <w:pPr>
              <w:widowControl/>
              <w:spacing w:line="360" w:lineRule="auto"/>
              <w:jc w:val="center"/>
              <w:rPr>
                <w:rFonts w:hint="eastAsia" w:ascii="宋体" w:hAnsi="宋体" w:cs="宋体"/>
                <w:szCs w:val="21"/>
                <w:highlight w:val="none"/>
              </w:rPr>
            </w:pPr>
            <w:r>
              <w:rPr>
                <w:rFonts w:hint="eastAsia" w:ascii="宋体" w:hAnsi="宋体" w:cs="宋体"/>
                <w:szCs w:val="21"/>
                <w:highlight w:val="none"/>
              </w:rPr>
              <w:t>专业</w:t>
            </w:r>
          </w:p>
        </w:tc>
        <w:tc>
          <w:tcPr>
            <w:tcW w:w="1701" w:type="dxa"/>
            <w:vMerge w:val="restart"/>
            <w:tcBorders>
              <w:top w:val="single" w:color="auto" w:sz="8" w:space="0"/>
              <w:left w:val="single" w:color="auto" w:sz="8" w:space="0"/>
              <w:bottom w:val="single" w:color="000000" w:sz="8" w:space="0"/>
              <w:right w:val="single" w:color="auto" w:sz="8" w:space="0"/>
            </w:tcBorders>
            <w:vAlign w:val="center"/>
          </w:tcPr>
          <w:p w14:paraId="293540AB">
            <w:pPr>
              <w:widowControl/>
              <w:spacing w:line="360" w:lineRule="auto"/>
              <w:jc w:val="center"/>
              <w:rPr>
                <w:rFonts w:hint="eastAsia" w:ascii="宋体" w:hAnsi="宋体" w:cs="宋体"/>
                <w:szCs w:val="21"/>
                <w:highlight w:val="none"/>
              </w:rPr>
            </w:pPr>
            <w:r>
              <w:rPr>
                <w:rFonts w:hint="eastAsia" w:ascii="宋体" w:hAnsi="宋体" w:cs="宋体"/>
                <w:szCs w:val="21"/>
                <w:highlight w:val="none"/>
              </w:rPr>
              <w:t>职称</w:t>
            </w:r>
          </w:p>
        </w:tc>
        <w:tc>
          <w:tcPr>
            <w:tcW w:w="1554" w:type="dxa"/>
            <w:vMerge w:val="restart"/>
            <w:tcBorders>
              <w:top w:val="single" w:color="auto" w:sz="8" w:space="0"/>
              <w:left w:val="single" w:color="auto" w:sz="8" w:space="0"/>
              <w:bottom w:val="single" w:color="000000" w:sz="8" w:space="0"/>
              <w:right w:val="single" w:color="auto" w:sz="8" w:space="0"/>
            </w:tcBorders>
            <w:vAlign w:val="center"/>
          </w:tcPr>
          <w:p w14:paraId="7AFEBADB">
            <w:pPr>
              <w:widowControl/>
              <w:spacing w:line="360" w:lineRule="auto"/>
              <w:jc w:val="center"/>
              <w:rPr>
                <w:rFonts w:hint="eastAsia" w:ascii="宋体" w:hAnsi="宋体" w:cs="宋体"/>
                <w:szCs w:val="21"/>
                <w:highlight w:val="none"/>
              </w:rPr>
            </w:pPr>
            <w:r>
              <w:rPr>
                <w:rFonts w:hint="eastAsia" w:ascii="宋体" w:hAnsi="宋体" w:cs="宋体"/>
                <w:szCs w:val="21"/>
                <w:highlight w:val="none"/>
              </w:rPr>
              <w:t>资格证书</w:t>
            </w:r>
          </w:p>
        </w:tc>
      </w:tr>
      <w:tr w14:paraId="7B682158">
        <w:tblPrEx>
          <w:tblCellMar>
            <w:top w:w="0" w:type="dxa"/>
            <w:left w:w="108" w:type="dxa"/>
            <w:bottom w:w="0" w:type="dxa"/>
            <w:right w:w="108" w:type="dxa"/>
          </w:tblCellMar>
        </w:tblPrEx>
        <w:trPr>
          <w:trHeight w:val="566" w:hRule="atLeast"/>
        </w:trPr>
        <w:tc>
          <w:tcPr>
            <w:tcW w:w="1486" w:type="dxa"/>
            <w:vMerge w:val="continue"/>
            <w:tcBorders>
              <w:top w:val="single" w:color="auto" w:sz="8" w:space="0"/>
              <w:left w:val="single" w:color="auto" w:sz="8" w:space="0"/>
              <w:bottom w:val="single" w:color="000000" w:sz="8" w:space="0"/>
              <w:right w:val="single" w:color="auto" w:sz="8" w:space="0"/>
            </w:tcBorders>
            <w:vAlign w:val="center"/>
          </w:tcPr>
          <w:p w14:paraId="2EF623DD">
            <w:pPr>
              <w:widowControl/>
              <w:spacing w:line="360" w:lineRule="auto"/>
              <w:jc w:val="center"/>
              <w:rPr>
                <w:rFonts w:hint="eastAsia" w:ascii="宋体" w:hAnsi="宋体" w:cs="宋体"/>
                <w:szCs w:val="21"/>
                <w:highlight w:val="none"/>
              </w:rPr>
            </w:pPr>
          </w:p>
        </w:tc>
        <w:tc>
          <w:tcPr>
            <w:tcW w:w="1134" w:type="dxa"/>
            <w:vMerge w:val="continue"/>
            <w:tcBorders>
              <w:top w:val="single" w:color="auto" w:sz="8" w:space="0"/>
              <w:left w:val="single" w:color="auto" w:sz="8" w:space="0"/>
              <w:bottom w:val="single" w:color="000000" w:sz="8" w:space="0"/>
              <w:right w:val="single" w:color="auto" w:sz="8" w:space="0"/>
            </w:tcBorders>
            <w:vAlign w:val="center"/>
          </w:tcPr>
          <w:p w14:paraId="33CA8F95">
            <w:pPr>
              <w:widowControl/>
              <w:spacing w:line="360" w:lineRule="auto"/>
              <w:jc w:val="center"/>
              <w:rPr>
                <w:rFonts w:hint="eastAsia" w:ascii="宋体" w:hAnsi="宋体" w:cs="宋体"/>
                <w:szCs w:val="21"/>
                <w:highlight w:val="none"/>
              </w:rPr>
            </w:pPr>
          </w:p>
        </w:tc>
        <w:tc>
          <w:tcPr>
            <w:tcW w:w="933" w:type="dxa"/>
            <w:vMerge w:val="continue"/>
            <w:tcBorders>
              <w:top w:val="single" w:color="auto" w:sz="8" w:space="0"/>
              <w:left w:val="single" w:color="auto" w:sz="8" w:space="0"/>
              <w:bottom w:val="single" w:color="000000" w:sz="8" w:space="0"/>
              <w:right w:val="single" w:color="auto" w:sz="8" w:space="0"/>
            </w:tcBorders>
            <w:vAlign w:val="center"/>
          </w:tcPr>
          <w:p w14:paraId="7CF306BD">
            <w:pPr>
              <w:widowControl/>
              <w:spacing w:line="360" w:lineRule="auto"/>
              <w:jc w:val="center"/>
              <w:rPr>
                <w:rFonts w:hint="eastAsia" w:ascii="宋体" w:hAnsi="宋体" w:cs="宋体"/>
                <w:szCs w:val="21"/>
                <w:highlight w:val="none"/>
              </w:rPr>
            </w:pPr>
          </w:p>
        </w:tc>
        <w:tc>
          <w:tcPr>
            <w:tcW w:w="1276" w:type="dxa"/>
            <w:vMerge w:val="continue"/>
            <w:tcBorders>
              <w:top w:val="single" w:color="auto" w:sz="8" w:space="0"/>
              <w:left w:val="single" w:color="auto" w:sz="8" w:space="0"/>
              <w:bottom w:val="single" w:color="000000" w:sz="8" w:space="0"/>
              <w:right w:val="single" w:color="auto" w:sz="8" w:space="0"/>
            </w:tcBorders>
            <w:vAlign w:val="center"/>
          </w:tcPr>
          <w:p w14:paraId="12568908">
            <w:pPr>
              <w:widowControl/>
              <w:spacing w:line="360" w:lineRule="auto"/>
              <w:jc w:val="center"/>
              <w:rPr>
                <w:rFonts w:hint="eastAsia" w:ascii="宋体" w:hAnsi="宋体" w:cs="宋体"/>
                <w:szCs w:val="21"/>
                <w:highlight w:val="none"/>
              </w:rPr>
            </w:pPr>
          </w:p>
        </w:tc>
        <w:tc>
          <w:tcPr>
            <w:tcW w:w="1276" w:type="dxa"/>
            <w:vMerge w:val="continue"/>
            <w:tcBorders>
              <w:top w:val="single" w:color="auto" w:sz="8" w:space="0"/>
              <w:left w:val="single" w:color="auto" w:sz="8" w:space="0"/>
              <w:bottom w:val="single" w:color="000000" w:sz="8" w:space="0"/>
              <w:right w:val="single" w:color="auto" w:sz="8" w:space="0"/>
            </w:tcBorders>
            <w:vAlign w:val="center"/>
          </w:tcPr>
          <w:p w14:paraId="1CD3C1DD">
            <w:pPr>
              <w:widowControl/>
              <w:spacing w:line="360" w:lineRule="auto"/>
              <w:jc w:val="center"/>
              <w:rPr>
                <w:rFonts w:hint="eastAsia" w:ascii="宋体" w:hAnsi="宋体" w:cs="宋体"/>
                <w:szCs w:val="21"/>
                <w:highlight w:val="none"/>
              </w:rPr>
            </w:pPr>
          </w:p>
        </w:tc>
        <w:tc>
          <w:tcPr>
            <w:tcW w:w="1701" w:type="dxa"/>
            <w:vMerge w:val="continue"/>
            <w:tcBorders>
              <w:top w:val="single" w:color="auto" w:sz="8" w:space="0"/>
              <w:left w:val="single" w:color="auto" w:sz="8" w:space="0"/>
              <w:bottom w:val="single" w:color="000000" w:sz="8" w:space="0"/>
              <w:right w:val="single" w:color="auto" w:sz="8" w:space="0"/>
            </w:tcBorders>
            <w:vAlign w:val="center"/>
          </w:tcPr>
          <w:p w14:paraId="02C0F97B">
            <w:pPr>
              <w:widowControl/>
              <w:spacing w:line="360" w:lineRule="auto"/>
              <w:jc w:val="center"/>
              <w:rPr>
                <w:rFonts w:hint="eastAsia" w:ascii="宋体" w:hAnsi="宋体" w:cs="宋体"/>
                <w:szCs w:val="21"/>
                <w:highlight w:val="none"/>
              </w:rPr>
            </w:pPr>
          </w:p>
        </w:tc>
        <w:tc>
          <w:tcPr>
            <w:tcW w:w="1554" w:type="dxa"/>
            <w:vMerge w:val="continue"/>
            <w:tcBorders>
              <w:top w:val="single" w:color="auto" w:sz="8" w:space="0"/>
              <w:left w:val="single" w:color="auto" w:sz="8" w:space="0"/>
              <w:bottom w:val="single" w:color="000000" w:sz="8" w:space="0"/>
              <w:right w:val="single" w:color="auto" w:sz="8" w:space="0"/>
            </w:tcBorders>
            <w:vAlign w:val="center"/>
          </w:tcPr>
          <w:p w14:paraId="402F8E05">
            <w:pPr>
              <w:widowControl/>
              <w:spacing w:line="360" w:lineRule="auto"/>
              <w:jc w:val="center"/>
              <w:rPr>
                <w:rFonts w:hint="eastAsia" w:ascii="宋体" w:hAnsi="宋体" w:cs="宋体"/>
                <w:szCs w:val="21"/>
                <w:highlight w:val="none"/>
              </w:rPr>
            </w:pPr>
          </w:p>
        </w:tc>
      </w:tr>
      <w:tr w14:paraId="28D4E966">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vAlign w:val="center"/>
          </w:tcPr>
          <w:p w14:paraId="64D42168">
            <w:pPr>
              <w:widowControl/>
              <w:spacing w:line="360" w:lineRule="auto"/>
              <w:jc w:val="center"/>
              <w:rPr>
                <w:rFonts w:hint="eastAsia" w:ascii="宋体" w:hAnsi="宋体" w:cs="宋体"/>
                <w:szCs w:val="21"/>
                <w:highlight w:val="none"/>
              </w:rPr>
            </w:pPr>
            <w:r>
              <w:rPr>
                <w:rFonts w:hint="eastAsia" w:ascii="宋体" w:hAnsi="宋体" w:cs="宋体"/>
                <w:szCs w:val="21"/>
                <w:highlight w:val="none"/>
              </w:rPr>
              <w:t>项目负责人</w:t>
            </w:r>
          </w:p>
        </w:tc>
        <w:tc>
          <w:tcPr>
            <w:tcW w:w="1134" w:type="dxa"/>
            <w:tcBorders>
              <w:top w:val="nil"/>
              <w:left w:val="nil"/>
              <w:bottom w:val="single" w:color="auto" w:sz="8" w:space="0"/>
              <w:right w:val="single" w:color="auto" w:sz="8" w:space="0"/>
            </w:tcBorders>
            <w:vAlign w:val="center"/>
          </w:tcPr>
          <w:p w14:paraId="3912771C">
            <w:pPr>
              <w:widowControl/>
              <w:spacing w:line="360" w:lineRule="auto"/>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14704F55">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33A02168">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12E6F18">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0D68BD2B">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062DDF1C">
            <w:pPr>
              <w:widowControl/>
              <w:spacing w:line="360" w:lineRule="auto"/>
              <w:jc w:val="center"/>
              <w:rPr>
                <w:rFonts w:hint="eastAsia" w:ascii="宋体" w:hAnsi="宋体" w:cs="宋体"/>
                <w:szCs w:val="21"/>
                <w:highlight w:val="none"/>
              </w:rPr>
            </w:pPr>
          </w:p>
        </w:tc>
      </w:tr>
      <w:tr w14:paraId="2F941ECD">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B0AB8B0">
            <w:pPr>
              <w:widowControl/>
              <w:spacing w:line="360" w:lineRule="auto"/>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355BE81E">
            <w:pPr>
              <w:widowControl/>
              <w:spacing w:line="360" w:lineRule="auto"/>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21E498DF">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59C971E9">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023DBC0">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1AB22201">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3ECF3E41">
            <w:pPr>
              <w:widowControl/>
              <w:spacing w:line="360" w:lineRule="auto"/>
              <w:jc w:val="center"/>
              <w:rPr>
                <w:rFonts w:hint="eastAsia" w:ascii="宋体" w:hAnsi="宋体" w:cs="宋体"/>
                <w:szCs w:val="21"/>
                <w:highlight w:val="none"/>
              </w:rPr>
            </w:pPr>
          </w:p>
        </w:tc>
      </w:tr>
      <w:tr w14:paraId="5633A2F1">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606E7A7C">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095DC2FD">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6D0E1283">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FE92B0B">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3F251DC9">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0DF48B3A">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798DF66D">
            <w:pPr>
              <w:widowControl/>
              <w:spacing w:line="360" w:lineRule="auto"/>
              <w:jc w:val="center"/>
              <w:rPr>
                <w:rFonts w:hint="eastAsia" w:ascii="宋体" w:hAnsi="宋体" w:cs="宋体"/>
                <w:szCs w:val="21"/>
                <w:highlight w:val="none"/>
              </w:rPr>
            </w:pPr>
          </w:p>
        </w:tc>
      </w:tr>
      <w:tr w14:paraId="4CA3090E">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15FECE65">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6B40C02C">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2E193CC4">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193CEA85">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50FDB673">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304D3438">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1CD9050A">
            <w:pPr>
              <w:widowControl/>
              <w:spacing w:line="360" w:lineRule="auto"/>
              <w:jc w:val="center"/>
              <w:rPr>
                <w:rFonts w:hint="eastAsia" w:ascii="宋体" w:hAnsi="宋体" w:cs="宋体"/>
                <w:szCs w:val="21"/>
                <w:highlight w:val="none"/>
              </w:rPr>
            </w:pPr>
          </w:p>
        </w:tc>
      </w:tr>
      <w:tr w14:paraId="45B738B1">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259F2F4F">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66E6BFA4">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3D52DD88">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F0973EA">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18B092C1">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48FAB92D">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559EBCA0">
            <w:pPr>
              <w:widowControl/>
              <w:spacing w:line="360" w:lineRule="auto"/>
              <w:jc w:val="center"/>
              <w:rPr>
                <w:rFonts w:hint="eastAsia" w:ascii="宋体" w:hAnsi="宋体" w:cs="宋体"/>
                <w:szCs w:val="21"/>
                <w:highlight w:val="none"/>
              </w:rPr>
            </w:pPr>
          </w:p>
        </w:tc>
      </w:tr>
      <w:tr w14:paraId="3A19D04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2106ADBA">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184380BB">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70AE3656">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6667681E">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8122FE0">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5CC36A35">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4FCE582F">
            <w:pPr>
              <w:widowControl/>
              <w:spacing w:line="360" w:lineRule="auto"/>
              <w:jc w:val="center"/>
              <w:rPr>
                <w:rFonts w:hint="eastAsia" w:ascii="宋体" w:hAnsi="宋体" w:cs="宋体"/>
                <w:szCs w:val="21"/>
                <w:highlight w:val="none"/>
              </w:rPr>
            </w:pPr>
          </w:p>
        </w:tc>
      </w:tr>
      <w:tr w14:paraId="58BA6FC1">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B57048A">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2455DB15">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0CC269E8">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1965A261">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6B132672">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58B6E0FE">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7AE25A98">
            <w:pPr>
              <w:widowControl/>
              <w:spacing w:line="360" w:lineRule="auto"/>
              <w:jc w:val="center"/>
              <w:rPr>
                <w:rFonts w:hint="eastAsia" w:ascii="宋体" w:hAnsi="宋体" w:cs="宋体"/>
                <w:szCs w:val="21"/>
                <w:highlight w:val="none"/>
              </w:rPr>
            </w:pPr>
          </w:p>
        </w:tc>
      </w:tr>
      <w:tr w14:paraId="2BA58F04">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35E26BE">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4E010284">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17CA6456">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A77FDAD">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784BA5CB">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092455AF">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51F7D4A5">
            <w:pPr>
              <w:widowControl/>
              <w:spacing w:line="360" w:lineRule="auto"/>
              <w:jc w:val="center"/>
              <w:rPr>
                <w:rFonts w:hint="eastAsia" w:ascii="宋体" w:hAnsi="宋体" w:cs="宋体"/>
                <w:szCs w:val="21"/>
                <w:highlight w:val="none"/>
              </w:rPr>
            </w:pPr>
          </w:p>
        </w:tc>
      </w:tr>
      <w:tr w14:paraId="61995CC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96C5476">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1BF0FBB3">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06F4CAC9">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781442CE">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3C53C51C">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74BD88C7">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263530AE">
            <w:pPr>
              <w:widowControl/>
              <w:spacing w:line="360" w:lineRule="auto"/>
              <w:jc w:val="center"/>
              <w:rPr>
                <w:rFonts w:hint="eastAsia" w:ascii="宋体" w:hAnsi="宋体" w:cs="宋体"/>
                <w:szCs w:val="21"/>
                <w:highlight w:val="none"/>
              </w:rPr>
            </w:pPr>
          </w:p>
        </w:tc>
      </w:tr>
      <w:tr w14:paraId="4112AA69">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53880DE9">
            <w:pPr>
              <w:widowControl/>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258A8D85">
            <w:pPr>
              <w:widowControl/>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4F63F40B">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89623D6">
            <w:pPr>
              <w:widowControl/>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2E99A6A">
            <w:pPr>
              <w:widowControl/>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16D5ADE6">
            <w:pPr>
              <w:widowControl/>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1E7D1EC8">
            <w:pPr>
              <w:widowControl/>
              <w:spacing w:line="360" w:lineRule="auto"/>
              <w:jc w:val="center"/>
              <w:rPr>
                <w:rFonts w:hint="eastAsia" w:ascii="宋体" w:hAnsi="宋体" w:cs="宋体"/>
                <w:szCs w:val="21"/>
                <w:highlight w:val="none"/>
              </w:rPr>
            </w:pPr>
          </w:p>
        </w:tc>
      </w:tr>
    </w:tbl>
    <w:p w14:paraId="04204A20">
      <w:pPr>
        <w:spacing w:line="360" w:lineRule="auto"/>
        <w:rPr>
          <w:rFonts w:hint="eastAsia" w:ascii="宋体" w:hAnsi="宋体"/>
          <w:szCs w:val="21"/>
          <w:highlight w:val="none"/>
        </w:rPr>
      </w:pPr>
    </w:p>
    <w:p w14:paraId="65C86824">
      <w:pPr>
        <w:spacing w:line="360" w:lineRule="auto"/>
        <w:rPr>
          <w:rFonts w:hint="eastAsia" w:ascii="宋体" w:hAnsi="宋体"/>
          <w:szCs w:val="21"/>
          <w:highlight w:val="none"/>
        </w:rPr>
      </w:pPr>
    </w:p>
    <w:p w14:paraId="545027F6">
      <w:pPr>
        <w:pStyle w:val="36"/>
        <w:overflowPunct w:val="0"/>
        <w:spacing w:line="360" w:lineRule="auto"/>
        <w:ind w:firstLine="420" w:firstLineChars="200"/>
        <w:rPr>
          <w:rFonts w:hint="eastAsia" w:ascii="宋体" w:hAnsi="宋体"/>
          <w:highlight w:val="none"/>
        </w:rPr>
      </w:pPr>
    </w:p>
    <w:p w14:paraId="2219DE03">
      <w:pPr>
        <w:spacing w:line="360" w:lineRule="auto"/>
        <w:ind w:firstLine="480"/>
        <w:jc w:val="right"/>
        <w:rPr>
          <w:rFonts w:hint="eastAsia" w:ascii="宋体" w:hAnsi="宋体" w:cs="宋体"/>
          <w:szCs w:val="21"/>
          <w:highlight w:val="none"/>
        </w:rPr>
      </w:pPr>
    </w:p>
    <w:p w14:paraId="5566E42B">
      <w:pPr>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供应商（公章）：</w:t>
      </w:r>
    </w:p>
    <w:p w14:paraId="674C1F9C">
      <w:pPr>
        <w:spacing w:line="360" w:lineRule="auto"/>
        <w:ind w:firstLine="480"/>
        <w:jc w:val="right"/>
        <w:rPr>
          <w:rFonts w:hint="eastAsia" w:ascii="宋体" w:hAnsi="宋体" w:cs="宋体"/>
          <w:szCs w:val="21"/>
          <w:highlight w:val="none"/>
        </w:rPr>
      </w:pPr>
      <w:r>
        <w:rPr>
          <w:rFonts w:hint="eastAsia" w:ascii="宋体" w:hAnsi="宋体" w:cs="宋体"/>
          <w:szCs w:val="21"/>
          <w:highlight w:val="none"/>
        </w:rPr>
        <w:t>法定代表人或授权代表（签字或盖章）：</w:t>
      </w:r>
    </w:p>
    <w:p w14:paraId="6E658347">
      <w:pPr>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日期：  　年　月　日</w:t>
      </w:r>
    </w:p>
    <w:p w14:paraId="476A324E">
      <w:pPr>
        <w:pStyle w:val="36"/>
        <w:overflowPunct w:val="0"/>
        <w:spacing w:line="360" w:lineRule="auto"/>
        <w:ind w:firstLine="420" w:firstLineChars="200"/>
        <w:rPr>
          <w:rFonts w:hint="eastAsia" w:ascii="宋体" w:hAnsi="宋体"/>
          <w:highlight w:val="none"/>
        </w:rPr>
      </w:pPr>
    </w:p>
    <w:p w14:paraId="5018A962">
      <w:pPr>
        <w:widowControl/>
        <w:spacing w:line="360" w:lineRule="auto"/>
        <w:jc w:val="center"/>
        <w:rPr>
          <w:rFonts w:hint="eastAsia" w:ascii="宋体" w:hAnsi="宋体" w:cs="宋体"/>
          <w:b/>
          <w:szCs w:val="21"/>
          <w:highlight w:val="none"/>
        </w:rPr>
      </w:pPr>
      <w:r>
        <w:rPr>
          <w:rFonts w:ascii="宋体" w:hAnsi="宋体"/>
          <w:b/>
          <w:szCs w:val="21"/>
          <w:highlight w:val="none"/>
        </w:rPr>
        <w:br w:type="page"/>
      </w:r>
      <w:r>
        <w:rPr>
          <w:rFonts w:hint="eastAsia" w:ascii="宋体" w:hAnsi="宋体" w:cs="宋体"/>
          <w:b/>
          <w:szCs w:val="21"/>
          <w:highlight w:val="none"/>
        </w:rPr>
        <w:t>12.</w:t>
      </w:r>
      <w:r>
        <w:rPr>
          <w:rFonts w:hint="eastAsia" w:ascii="宋体" w:hAnsi="宋体" w:cs="宋体"/>
          <w:b/>
          <w:bCs/>
          <w:szCs w:val="21"/>
          <w:highlight w:val="none"/>
        </w:rPr>
        <w:t>供应商一般情况表</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7595C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5D2706A4">
            <w:pPr>
              <w:spacing w:line="360" w:lineRule="auto"/>
              <w:jc w:val="center"/>
              <w:rPr>
                <w:rFonts w:hint="eastAsia" w:ascii="宋体" w:hAnsi="宋体" w:cs="宋体"/>
                <w:szCs w:val="21"/>
                <w:highlight w:val="none"/>
              </w:rPr>
            </w:pPr>
            <w:r>
              <w:rPr>
                <w:rFonts w:hint="eastAsia" w:ascii="宋体" w:hAnsi="宋体" w:cs="宋体"/>
                <w:szCs w:val="21"/>
                <w:highlight w:val="none"/>
              </w:rPr>
              <w:t>供应商名称</w:t>
            </w:r>
          </w:p>
        </w:tc>
        <w:tc>
          <w:tcPr>
            <w:tcW w:w="7341" w:type="dxa"/>
            <w:gridSpan w:val="8"/>
            <w:vAlign w:val="center"/>
          </w:tcPr>
          <w:p w14:paraId="3D36ACF3">
            <w:pPr>
              <w:spacing w:line="360" w:lineRule="auto"/>
              <w:jc w:val="center"/>
              <w:rPr>
                <w:rFonts w:hint="eastAsia" w:ascii="宋体" w:hAnsi="宋体" w:cs="宋体"/>
                <w:szCs w:val="21"/>
                <w:highlight w:val="none"/>
              </w:rPr>
            </w:pPr>
          </w:p>
        </w:tc>
      </w:tr>
      <w:tr w14:paraId="0B4A1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0EA45D4E">
            <w:pPr>
              <w:spacing w:line="360" w:lineRule="auto"/>
              <w:jc w:val="center"/>
              <w:rPr>
                <w:rFonts w:hint="eastAsia" w:ascii="宋体" w:hAnsi="宋体" w:cs="宋体"/>
                <w:szCs w:val="21"/>
                <w:highlight w:val="none"/>
              </w:rPr>
            </w:pPr>
            <w:r>
              <w:rPr>
                <w:rFonts w:hint="eastAsia" w:ascii="宋体" w:hAnsi="宋体" w:cs="宋体"/>
                <w:szCs w:val="21"/>
                <w:highlight w:val="none"/>
              </w:rPr>
              <w:t>注册地址</w:t>
            </w:r>
          </w:p>
        </w:tc>
        <w:tc>
          <w:tcPr>
            <w:tcW w:w="3389" w:type="dxa"/>
            <w:gridSpan w:val="4"/>
            <w:vAlign w:val="center"/>
          </w:tcPr>
          <w:p w14:paraId="529C2C36">
            <w:pPr>
              <w:spacing w:line="360" w:lineRule="auto"/>
              <w:jc w:val="center"/>
              <w:rPr>
                <w:rFonts w:hint="eastAsia" w:ascii="宋体" w:hAnsi="宋体" w:cs="宋体"/>
                <w:szCs w:val="21"/>
                <w:highlight w:val="none"/>
              </w:rPr>
            </w:pPr>
          </w:p>
        </w:tc>
        <w:tc>
          <w:tcPr>
            <w:tcW w:w="1246" w:type="dxa"/>
            <w:vAlign w:val="center"/>
          </w:tcPr>
          <w:p w14:paraId="4C58FA45">
            <w:pPr>
              <w:spacing w:line="360" w:lineRule="auto"/>
              <w:jc w:val="center"/>
              <w:rPr>
                <w:rFonts w:hint="eastAsia" w:ascii="宋体" w:hAnsi="宋体" w:cs="宋体"/>
                <w:szCs w:val="21"/>
                <w:highlight w:val="none"/>
              </w:rPr>
            </w:pPr>
            <w:r>
              <w:rPr>
                <w:rFonts w:hint="eastAsia" w:ascii="宋体" w:hAnsi="宋体" w:cs="宋体"/>
                <w:szCs w:val="21"/>
                <w:highlight w:val="none"/>
              </w:rPr>
              <w:t>邮政编码</w:t>
            </w:r>
          </w:p>
        </w:tc>
        <w:tc>
          <w:tcPr>
            <w:tcW w:w="2706" w:type="dxa"/>
            <w:gridSpan w:val="3"/>
            <w:vAlign w:val="center"/>
          </w:tcPr>
          <w:p w14:paraId="0C85FD11">
            <w:pPr>
              <w:spacing w:line="360" w:lineRule="auto"/>
              <w:jc w:val="center"/>
              <w:rPr>
                <w:rFonts w:hint="eastAsia" w:ascii="宋体" w:hAnsi="宋体" w:cs="宋体"/>
                <w:szCs w:val="21"/>
                <w:highlight w:val="none"/>
              </w:rPr>
            </w:pPr>
          </w:p>
        </w:tc>
      </w:tr>
      <w:tr w14:paraId="790D5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vAlign w:val="center"/>
          </w:tcPr>
          <w:p w14:paraId="34D5D98F">
            <w:pPr>
              <w:spacing w:line="360" w:lineRule="auto"/>
              <w:jc w:val="center"/>
              <w:rPr>
                <w:rFonts w:hint="eastAsia" w:ascii="宋体" w:hAnsi="宋体" w:cs="宋体"/>
                <w:szCs w:val="21"/>
                <w:highlight w:val="none"/>
              </w:rPr>
            </w:pPr>
            <w:r>
              <w:rPr>
                <w:rFonts w:hint="eastAsia" w:ascii="宋体" w:hAnsi="宋体" w:cs="宋体"/>
                <w:szCs w:val="21"/>
                <w:highlight w:val="none"/>
              </w:rPr>
              <w:t>联系方式</w:t>
            </w:r>
          </w:p>
        </w:tc>
        <w:tc>
          <w:tcPr>
            <w:tcW w:w="897" w:type="dxa"/>
            <w:vAlign w:val="center"/>
          </w:tcPr>
          <w:p w14:paraId="0B081A52">
            <w:pPr>
              <w:spacing w:line="360" w:lineRule="auto"/>
              <w:jc w:val="center"/>
              <w:rPr>
                <w:rFonts w:hint="eastAsia" w:ascii="宋体" w:hAnsi="宋体" w:cs="宋体"/>
                <w:szCs w:val="21"/>
                <w:highlight w:val="none"/>
              </w:rPr>
            </w:pPr>
            <w:r>
              <w:rPr>
                <w:rFonts w:hint="eastAsia" w:ascii="宋体" w:hAnsi="宋体" w:cs="宋体"/>
                <w:szCs w:val="21"/>
                <w:highlight w:val="none"/>
              </w:rPr>
              <w:t>联系人</w:t>
            </w:r>
          </w:p>
        </w:tc>
        <w:tc>
          <w:tcPr>
            <w:tcW w:w="2492" w:type="dxa"/>
            <w:gridSpan w:val="3"/>
            <w:vAlign w:val="center"/>
          </w:tcPr>
          <w:p w14:paraId="50E66752">
            <w:pPr>
              <w:spacing w:line="360" w:lineRule="auto"/>
              <w:jc w:val="center"/>
              <w:rPr>
                <w:rFonts w:hint="eastAsia" w:ascii="宋体" w:hAnsi="宋体" w:cs="宋体"/>
                <w:szCs w:val="21"/>
                <w:highlight w:val="none"/>
              </w:rPr>
            </w:pPr>
          </w:p>
        </w:tc>
        <w:tc>
          <w:tcPr>
            <w:tcW w:w="1246" w:type="dxa"/>
            <w:vAlign w:val="center"/>
          </w:tcPr>
          <w:p w14:paraId="3216A316">
            <w:pPr>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2706" w:type="dxa"/>
            <w:gridSpan w:val="3"/>
            <w:vAlign w:val="center"/>
          </w:tcPr>
          <w:p w14:paraId="297B44DB">
            <w:pPr>
              <w:spacing w:line="360" w:lineRule="auto"/>
              <w:jc w:val="center"/>
              <w:rPr>
                <w:rFonts w:hint="eastAsia" w:ascii="宋体" w:hAnsi="宋体" w:cs="宋体"/>
                <w:szCs w:val="21"/>
                <w:highlight w:val="none"/>
              </w:rPr>
            </w:pPr>
          </w:p>
        </w:tc>
      </w:tr>
      <w:tr w14:paraId="0D3D3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vAlign w:val="center"/>
          </w:tcPr>
          <w:p w14:paraId="0F20541A">
            <w:pPr>
              <w:spacing w:line="360" w:lineRule="auto"/>
              <w:jc w:val="center"/>
              <w:rPr>
                <w:rFonts w:hint="eastAsia" w:ascii="宋体" w:hAnsi="宋体" w:cs="宋体"/>
                <w:szCs w:val="21"/>
                <w:highlight w:val="none"/>
              </w:rPr>
            </w:pPr>
          </w:p>
        </w:tc>
        <w:tc>
          <w:tcPr>
            <w:tcW w:w="897" w:type="dxa"/>
            <w:vAlign w:val="center"/>
          </w:tcPr>
          <w:p w14:paraId="664732F3">
            <w:pPr>
              <w:spacing w:line="360" w:lineRule="auto"/>
              <w:jc w:val="center"/>
              <w:rPr>
                <w:rFonts w:hint="eastAsia" w:ascii="宋体" w:hAnsi="宋体" w:cs="宋体"/>
                <w:szCs w:val="21"/>
                <w:highlight w:val="none"/>
              </w:rPr>
            </w:pPr>
            <w:r>
              <w:rPr>
                <w:rFonts w:hint="eastAsia" w:ascii="宋体" w:hAnsi="宋体" w:cs="宋体"/>
                <w:szCs w:val="21"/>
                <w:highlight w:val="none"/>
              </w:rPr>
              <w:t>传真</w:t>
            </w:r>
          </w:p>
        </w:tc>
        <w:tc>
          <w:tcPr>
            <w:tcW w:w="2492" w:type="dxa"/>
            <w:gridSpan w:val="3"/>
            <w:vAlign w:val="center"/>
          </w:tcPr>
          <w:p w14:paraId="547A7562">
            <w:pPr>
              <w:spacing w:line="360" w:lineRule="auto"/>
              <w:jc w:val="center"/>
              <w:rPr>
                <w:rFonts w:hint="eastAsia" w:ascii="宋体" w:hAnsi="宋体" w:cs="宋体"/>
                <w:szCs w:val="21"/>
                <w:highlight w:val="none"/>
              </w:rPr>
            </w:pPr>
          </w:p>
        </w:tc>
        <w:tc>
          <w:tcPr>
            <w:tcW w:w="1246" w:type="dxa"/>
            <w:vAlign w:val="center"/>
          </w:tcPr>
          <w:p w14:paraId="78F61A06">
            <w:pPr>
              <w:spacing w:line="360" w:lineRule="auto"/>
              <w:jc w:val="center"/>
              <w:rPr>
                <w:rFonts w:hint="eastAsia" w:ascii="宋体" w:hAnsi="宋体" w:cs="宋体"/>
                <w:szCs w:val="21"/>
                <w:highlight w:val="none"/>
              </w:rPr>
            </w:pPr>
            <w:r>
              <w:rPr>
                <w:rFonts w:hint="eastAsia" w:ascii="宋体" w:hAnsi="宋体" w:cs="宋体"/>
                <w:szCs w:val="21"/>
                <w:highlight w:val="none"/>
              </w:rPr>
              <w:t>网址</w:t>
            </w:r>
          </w:p>
        </w:tc>
        <w:tc>
          <w:tcPr>
            <w:tcW w:w="2706" w:type="dxa"/>
            <w:gridSpan w:val="3"/>
            <w:vAlign w:val="center"/>
          </w:tcPr>
          <w:p w14:paraId="145147D3">
            <w:pPr>
              <w:spacing w:line="360" w:lineRule="auto"/>
              <w:jc w:val="center"/>
              <w:rPr>
                <w:rFonts w:hint="eastAsia" w:ascii="宋体" w:hAnsi="宋体" w:cs="宋体"/>
                <w:szCs w:val="21"/>
                <w:highlight w:val="none"/>
              </w:rPr>
            </w:pPr>
          </w:p>
        </w:tc>
      </w:tr>
      <w:tr w14:paraId="2C4B9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004DA1BA">
            <w:pPr>
              <w:spacing w:line="360" w:lineRule="auto"/>
              <w:jc w:val="center"/>
              <w:rPr>
                <w:rFonts w:hint="eastAsia" w:ascii="宋体" w:hAnsi="宋体" w:cs="宋体"/>
                <w:szCs w:val="21"/>
                <w:highlight w:val="none"/>
              </w:rPr>
            </w:pPr>
            <w:r>
              <w:rPr>
                <w:rFonts w:hint="eastAsia" w:ascii="宋体" w:hAnsi="宋体" w:cs="宋体"/>
                <w:szCs w:val="21"/>
                <w:highlight w:val="none"/>
              </w:rPr>
              <w:t>企业统一社会信用代码</w:t>
            </w:r>
          </w:p>
        </w:tc>
        <w:tc>
          <w:tcPr>
            <w:tcW w:w="7341" w:type="dxa"/>
            <w:gridSpan w:val="8"/>
            <w:vAlign w:val="center"/>
          </w:tcPr>
          <w:p w14:paraId="3D421C7C">
            <w:pPr>
              <w:spacing w:line="360" w:lineRule="auto"/>
              <w:jc w:val="center"/>
              <w:rPr>
                <w:rFonts w:hint="eastAsia" w:ascii="宋体" w:hAnsi="宋体" w:cs="宋体"/>
                <w:szCs w:val="21"/>
                <w:highlight w:val="none"/>
              </w:rPr>
            </w:pPr>
          </w:p>
        </w:tc>
      </w:tr>
      <w:tr w14:paraId="41C68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6B28BA88">
            <w:pPr>
              <w:spacing w:line="360" w:lineRule="auto"/>
              <w:jc w:val="center"/>
              <w:rPr>
                <w:rFonts w:hint="eastAsia" w:ascii="宋体" w:hAnsi="宋体" w:cs="宋体"/>
                <w:szCs w:val="21"/>
                <w:highlight w:val="none"/>
              </w:rPr>
            </w:pPr>
            <w:r>
              <w:rPr>
                <w:rFonts w:hint="eastAsia" w:ascii="宋体" w:hAnsi="宋体" w:cs="宋体"/>
                <w:szCs w:val="21"/>
                <w:highlight w:val="none"/>
              </w:rPr>
              <w:t>法定代表人</w:t>
            </w:r>
          </w:p>
        </w:tc>
        <w:tc>
          <w:tcPr>
            <w:tcW w:w="897" w:type="dxa"/>
            <w:vAlign w:val="center"/>
          </w:tcPr>
          <w:p w14:paraId="1488D4AB">
            <w:pPr>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1021" w:type="dxa"/>
            <w:vAlign w:val="center"/>
          </w:tcPr>
          <w:p w14:paraId="60534EE7">
            <w:pPr>
              <w:spacing w:line="360" w:lineRule="auto"/>
              <w:jc w:val="center"/>
              <w:rPr>
                <w:rFonts w:hint="eastAsia" w:ascii="宋体" w:hAnsi="宋体" w:cs="宋体"/>
                <w:szCs w:val="21"/>
                <w:highlight w:val="none"/>
              </w:rPr>
            </w:pPr>
          </w:p>
        </w:tc>
        <w:tc>
          <w:tcPr>
            <w:tcW w:w="1160" w:type="dxa"/>
            <w:vAlign w:val="center"/>
          </w:tcPr>
          <w:p w14:paraId="7706E941">
            <w:pPr>
              <w:spacing w:line="360" w:lineRule="auto"/>
              <w:jc w:val="center"/>
              <w:rPr>
                <w:rFonts w:hint="eastAsia" w:ascii="宋体" w:hAnsi="宋体" w:cs="宋体"/>
                <w:szCs w:val="21"/>
                <w:highlight w:val="none"/>
              </w:rPr>
            </w:pPr>
            <w:r>
              <w:rPr>
                <w:rFonts w:hint="eastAsia" w:ascii="宋体" w:hAnsi="宋体" w:cs="宋体"/>
                <w:szCs w:val="21"/>
                <w:highlight w:val="none"/>
              </w:rPr>
              <w:t>技术职称</w:t>
            </w:r>
          </w:p>
        </w:tc>
        <w:tc>
          <w:tcPr>
            <w:tcW w:w="1620" w:type="dxa"/>
            <w:gridSpan w:val="3"/>
            <w:vAlign w:val="center"/>
          </w:tcPr>
          <w:p w14:paraId="5F2F4DAF">
            <w:pPr>
              <w:spacing w:line="360" w:lineRule="auto"/>
              <w:jc w:val="center"/>
              <w:rPr>
                <w:rFonts w:hint="eastAsia" w:ascii="宋体" w:hAnsi="宋体" w:cs="宋体"/>
                <w:szCs w:val="21"/>
                <w:highlight w:val="none"/>
              </w:rPr>
            </w:pPr>
          </w:p>
        </w:tc>
        <w:tc>
          <w:tcPr>
            <w:tcW w:w="720" w:type="dxa"/>
            <w:vAlign w:val="center"/>
          </w:tcPr>
          <w:p w14:paraId="34C42225">
            <w:pPr>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1923" w:type="dxa"/>
            <w:vAlign w:val="center"/>
          </w:tcPr>
          <w:p w14:paraId="635EAAAC">
            <w:pPr>
              <w:spacing w:line="360" w:lineRule="auto"/>
              <w:jc w:val="center"/>
              <w:rPr>
                <w:rFonts w:hint="eastAsia" w:ascii="宋体" w:hAnsi="宋体" w:cs="宋体"/>
                <w:szCs w:val="21"/>
                <w:highlight w:val="none"/>
              </w:rPr>
            </w:pPr>
          </w:p>
        </w:tc>
      </w:tr>
      <w:tr w14:paraId="5C9C8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77852478">
            <w:pPr>
              <w:spacing w:line="360" w:lineRule="auto"/>
              <w:jc w:val="center"/>
              <w:rPr>
                <w:rFonts w:hint="eastAsia" w:ascii="宋体" w:hAnsi="宋体" w:cs="宋体"/>
                <w:szCs w:val="21"/>
                <w:highlight w:val="none"/>
              </w:rPr>
            </w:pPr>
            <w:r>
              <w:rPr>
                <w:rFonts w:hint="eastAsia" w:ascii="宋体" w:hAnsi="宋体" w:cs="宋体"/>
                <w:szCs w:val="21"/>
                <w:highlight w:val="none"/>
              </w:rPr>
              <w:t>技术负责人</w:t>
            </w:r>
          </w:p>
        </w:tc>
        <w:tc>
          <w:tcPr>
            <w:tcW w:w="897" w:type="dxa"/>
            <w:vAlign w:val="center"/>
          </w:tcPr>
          <w:p w14:paraId="49D5103F">
            <w:pPr>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1021" w:type="dxa"/>
            <w:vAlign w:val="center"/>
          </w:tcPr>
          <w:p w14:paraId="0DDD1615">
            <w:pPr>
              <w:spacing w:line="360" w:lineRule="auto"/>
              <w:jc w:val="center"/>
              <w:rPr>
                <w:rFonts w:hint="eastAsia" w:ascii="宋体" w:hAnsi="宋体" w:cs="宋体"/>
                <w:szCs w:val="21"/>
                <w:highlight w:val="none"/>
              </w:rPr>
            </w:pPr>
          </w:p>
        </w:tc>
        <w:tc>
          <w:tcPr>
            <w:tcW w:w="1160" w:type="dxa"/>
            <w:vAlign w:val="center"/>
          </w:tcPr>
          <w:p w14:paraId="75A4EB42">
            <w:pPr>
              <w:spacing w:line="360" w:lineRule="auto"/>
              <w:jc w:val="center"/>
              <w:rPr>
                <w:rFonts w:hint="eastAsia" w:ascii="宋体" w:hAnsi="宋体" w:cs="宋体"/>
                <w:szCs w:val="21"/>
                <w:highlight w:val="none"/>
              </w:rPr>
            </w:pPr>
            <w:r>
              <w:rPr>
                <w:rFonts w:hint="eastAsia" w:ascii="宋体" w:hAnsi="宋体" w:cs="宋体"/>
                <w:szCs w:val="21"/>
                <w:highlight w:val="none"/>
              </w:rPr>
              <w:t>技术职称</w:t>
            </w:r>
          </w:p>
        </w:tc>
        <w:tc>
          <w:tcPr>
            <w:tcW w:w="1620" w:type="dxa"/>
            <w:gridSpan w:val="3"/>
            <w:vAlign w:val="center"/>
          </w:tcPr>
          <w:p w14:paraId="52E235B1">
            <w:pPr>
              <w:spacing w:line="360" w:lineRule="auto"/>
              <w:jc w:val="center"/>
              <w:rPr>
                <w:rFonts w:hint="eastAsia" w:ascii="宋体" w:hAnsi="宋体" w:cs="宋体"/>
                <w:szCs w:val="21"/>
                <w:highlight w:val="none"/>
              </w:rPr>
            </w:pPr>
          </w:p>
        </w:tc>
        <w:tc>
          <w:tcPr>
            <w:tcW w:w="720" w:type="dxa"/>
            <w:vAlign w:val="center"/>
          </w:tcPr>
          <w:p w14:paraId="4B32A4BC">
            <w:pPr>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1923" w:type="dxa"/>
            <w:vAlign w:val="center"/>
          </w:tcPr>
          <w:p w14:paraId="70E6AD8A">
            <w:pPr>
              <w:spacing w:line="360" w:lineRule="auto"/>
              <w:jc w:val="center"/>
              <w:rPr>
                <w:rFonts w:hint="eastAsia" w:ascii="宋体" w:hAnsi="宋体" w:cs="宋体"/>
                <w:szCs w:val="21"/>
                <w:highlight w:val="none"/>
              </w:rPr>
            </w:pPr>
          </w:p>
        </w:tc>
      </w:tr>
      <w:tr w14:paraId="25965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7B098B1C">
            <w:pPr>
              <w:spacing w:line="360" w:lineRule="auto"/>
              <w:jc w:val="center"/>
              <w:rPr>
                <w:rFonts w:hint="eastAsia" w:ascii="宋体" w:hAnsi="宋体" w:cs="宋体"/>
                <w:szCs w:val="21"/>
                <w:highlight w:val="none"/>
              </w:rPr>
            </w:pPr>
            <w:r>
              <w:rPr>
                <w:rFonts w:hint="eastAsia" w:ascii="宋体" w:hAnsi="宋体" w:cs="宋体"/>
                <w:szCs w:val="21"/>
                <w:highlight w:val="none"/>
              </w:rPr>
              <w:t>成立时间</w:t>
            </w:r>
          </w:p>
        </w:tc>
        <w:tc>
          <w:tcPr>
            <w:tcW w:w="1918" w:type="dxa"/>
            <w:gridSpan w:val="2"/>
            <w:vAlign w:val="center"/>
          </w:tcPr>
          <w:p w14:paraId="382A9AAC">
            <w:pPr>
              <w:spacing w:line="360" w:lineRule="auto"/>
              <w:jc w:val="center"/>
              <w:rPr>
                <w:rFonts w:hint="eastAsia" w:ascii="宋体" w:hAnsi="宋体" w:cs="宋体"/>
                <w:szCs w:val="21"/>
                <w:highlight w:val="none"/>
              </w:rPr>
            </w:pPr>
          </w:p>
        </w:tc>
        <w:tc>
          <w:tcPr>
            <w:tcW w:w="5423" w:type="dxa"/>
            <w:gridSpan w:val="6"/>
            <w:vAlign w:val="center"/>
          </w:tcPr>
          <w:p w14:paraId="557C88BB">
            <w:pPr>
              <w:spacing w:line="360" w:lineRule="auto"/>
              <w:jc w:val="center"/>
              <w:rPr>
                <w:rFonts w:hint="eastAsia" w:ascii="宋体" w:hAnsi="宋体" w:cs="宋体"/>
                <w:szCs w:val="21"/>
                <w:highlight w:val="none"/>
              </w:rPr>
            </w:pPr>
            <w:r>
              <w:rPr>
                <w:rFonts w:hint="eastAsia" w:ascii="宋体" w:hAnsi="宋体" w:cs="宋体"/>
                <w:szCs w:val="21"/>
                <w:highlight w:val="none"/>
              </w:rPr>
              <w:t>员工总人数：</w:t>
            </w:r>
          </w:p>
        </w:tc>
      </w:tr>
      <w:tr w14:paraId="3AFF1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1462C50A">
            <w:pPr>
              <w:spacing w:line="360" w:lineRule="auto"/>
              <w:jc w:val="center"/>
              <w:rPr>
                <w:rFonts w:hint="eastAsia" w:ascii="宋体" w:hAnsi="宋体" w:cs="宋体"/>
                <w:szCs w:val="21"/>
                <w:highlight w:val="none"/>
              </w:rPr>
            </w:pPr>
            <w:r>
              <w:rPr>
                <w:rFonts w:hint="eastAsia" w:ascii="宋体" w:hAnsi="宋体" w:cs="宋体"/>
                <w:szCs w:val="21"/>
                <w:highlight w:val="none"/>
              </w:rPr>
              <w:t>企业资质等级</w:t>
            </w:r>
          </w:p>
        </w:tc>
        <w:tc>
          <w:tcPr>
            <w:tcW w:w="1918" w:type="dxa"/>
            <w:gridSpan w:val="2"/>
            <w:vAlign w:val="center"/>
          </w:tcPr>
          <w:p w14:paraId="2C2DD545">
            <w:pPr>
              <w:spacing w:line="360" w:lineRule="auto"/>
              <w:jc w:val="center"/>
              <w:rPr>
                <w:rFonts w:hint="eastAsia" w:ascii="宋体" w:hAnsi="宋体" w:cs="宋体"/>
                <w:szCs w:val="21"/>
                <w:highlight w:val="none"/>
              </w:rPr>
            </w:pPr>
          </w:p>
        </w:tc>
        <w:tc>
          <w:tcPr>
            <w:tcW w:w="1160" w:type="dxa"/>
            <w:vMerge w:val="restart"/>
            <w:vAlign w:val="center"/>
          </w:tcPr>
          <w:p w14:paraId="755B7A3A">
            <w:pPr>
              <w:spacing w:line="360" w:lineRule="auto"/>
              <w:jc w:val="center"/>
              <w:rPr>
                <w:rFonts w:hint="eastAsia" w:ascii="宋体" w:hAnsi="宋体" w:cs="宋体"/>
                <w:szCs w:val="21"/>
                <w:highlight w:val="none"/>
              </w:rPr>
            </w:pPr>
            <w:r>
              <w:rPr>
                <w:rFonts w:hint="eastAsia" w:ascii="宋体" w:hAnsi="宋体" w:cs="宋体"/>
                <w:szCs w:val="21"/>
                <w:highlight w:val="none"/>
              </w:rPr>
              <w:t>其中</w:t>
            </w:r>
          </w:p>
        </w:tc>
        <w:tc>
          <w:tcPr>
            <w:tcW w:w="1620" w:type="dxa"/>
            <w:gridSpan w:val="3"/>
            <w:vAlign w:val="center"/>
          </w:tcPr>
          <w:p w14:paraId="516CEBD2">
            <w:pPr>
              <w:spacing w:line="360" w:lineRule="auto"/>
              <w:jc w:val="center"/>
              <w:rPr>
                <w:rFonts w:hint="eastAsia" w:ascii="宋体" w:hAnsi="宋体" w:cs="宋体"/>
                <w:szCs w:val="21"/>
                <w:highlight w:val="none"/>
              </w:rPr>
            </w:pPr>
            <w:r>
              <w:rPr>
                <w:rFonts w:hint="eastAsia" w:ascii="宋体" w:hAnsi="宋体" w:cs="宋体"/>
                <w:szCs w:val="21"/>
                <w:highlight w:val="none"/>
              </w:rPr>
              <w:t>注册建造师</w:t>
            </w:r>
          </w:p>
        </w:tc>
        <w:tc>
          <w:tcPr>
            <w:tcW w:w="2643" w:type="dxa"/>
            <w:gridSpan w:val="2"/>
            <w:vAlign w:val="center"/>
          </w:tcPr>
          <w:p w14:paraId="5A9FAEBB">
            <w:pPr>
              <w:spacing w:line="360" w:lineRule="auto"/>
              <w:jc w:val="center"/>
              <w:rPr>
                <w:rFonts w:hint="eastAsia" w:ascii="宋体" w:hAnsi="宋体" w:cs="宋体"/>
                <w:szCs w:val="21"/>
                <w:highlight w:val="none"/>
              </w:rPr>
            </w:pPr>
          </w:p>
        </w:tc>
      </w:tr>
      <w:tr w14:paraId="7683B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66CDC048">
            <w:pPr>
              <w:spacing w:line="360" w:lineRule="auto"/>
              <w:jc w:val="center"/>
              <w:rPr>
                <w:rFonts w:hint="eastAsia" w:ascii="宋体" w:hAnsi="宋体" w:cs="宋体"/>
                <w:szCs w:val="21"/>
                <w:highlight w:val="none"/>
              </w:rPr>
            </w:pPr>
            <w:r>
              <w:rPr>
                <w:rFonts w:hint="eastAsia" w:ascii="宋体" w:hAnsi="宋体" w:cs="宋体"/>
                <w:szCs w:val="21"/>
                <w:highlight w:val="none"/>
              </w:rPr>
              <w:t>营业执照号</w:t>
            </w:r>
          </w:p>
        </w:tc>
        <w:tc>
          <w:tcPr>
            <w:tcW w:w="1918" w:type="dxa"/>
            <w:gridSpan w:val="2"/>
            <w:vAlign w:val="center"/>
          </w:tcPr>
          <w:p w14:paraId="7E5672C1">
            <w:pPr>
              <w:spacing w:line="360" w:lineRule="auto"/>
              <w:jc w:val="center"/>
              <w:rPr>
                <w:rFonts w:hint="eastAsia" w:ascii="宋体" w:hAnsi="宋体" w:cs="宋体"/>
                <w:szCs w:val="21"/>
                <w:highlight w:val="none"/>
              </w:rPr>
            </w:pPr>
          </w:p>
        </w:tc>
        <w:tc>
          <w:tcPr>
            <w:tcW w:w="1160" w:type="dxa"/>
            <w:vMerge w:val="continue"/>
            <w:vAlign w:val="center"/>
          </w:tcPr>
          <w:p w14:paraId="557D45D5">
            <w:pPr>
              <w:spacing w:line="360" w:lineRule="auto"/>
              <w:jc w:val="center"/>
              <w:rPr>
                <w:rFonts w:hint="eastAsia" w:ascii="宋体" w:hAnsi="宋体" w:cs="宋体"/>
                <w:szCs w:val="21"/>
                <w:highlight w:val="none"/>
              </w:rPr>
            </w:pPr>
          </w:p>
        </w:tc>
        <w:tc>
          <w:tcPr>
            <w:tcW w:w="1620" w:type="dxa"/>
            <w:gridSpan w:val="3"/>
            <w:vAlign w:val="center"/>
          </w:tcPr>
          <w:p w14:paraId="41ECCFA0">
            <w:pPr>
              <w:spacing w:line="360" w:lineRule="auto"/>
              <w:jc w:val="center"/>
              <w:rPr>
                <w:rFonts w:hint="eastAsia" w:ascii="宋体" w:hAnsi="宋体" w:cs="宋体"/>
                <w:szCs w:val="21"/>
                <w:highlight w:val="none"/>
              </w:rPr>
            </w:pPr>
            <w:r>
              <w:rPr>
                <w:rFonts w:hint="eastAsia" w:ascii="宋体" w:hAnsi="宋体" w:cs="宋体"/>
                <w:szCs w:val="21"/>
                <w:highlight w:val="none"/>
              </w:rPr>
              <w:t>高级职称人员</w:t>
            </w:r>
          </w:p>
        </w:tc>
        <w:tc>
          <w:tcPr>
            <w:tcW w:w="2643" w:type="dxa"/>
            <w:gridSpan w:val="2"/>
            <w:vAlign w:val="center"/>
          </w:tcPr>
          <w:p w14:paraId="34E5FF66">
            <w:pPr>
              <w:spacing w:line="360" w:lineRule="auto"/>
              <w:jc w:val="center"/>
              <w:rPr>
                <w:rFonts w:hint="eastAsia" w:ascii="宋体" w:hAnsi="宋体" w:cs="宋体"/>
                <w:szCs w:val="21"/>
                <w:highlight w:val="none"/>
              </w:rPr>
            </w:pPr>
          </w:p>
        </w:tc>
      </w:tr>
      <w:tr w14:paraId="1A45B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351598DA">
            <w:pPr>
              <w:spacing w:line="360" w:lineRule="auto"/>
              <w:jc w:val="center"/>
              <w:rPr>
                <w:rFonts w:hint="eastAsia" w:ascii="宋体" w:hAnsi="宋体" w:cs="宋体"/>
                <w:szCs w:val="21"/>
                <w:highlight w:val="none"/>
              </w:rPr>
            </w:pPr>
            <w:r>
              <w:rPr>
                <w:rFonts w:hint="eastAsia" w:ascii="宋体" w:hAnsi="宋体" w:cs="宋体"/>
                <w:szCs w:val="21"/>
                <w:highlight w:val="none"/>
              </w:rPr>
              <w:t>注册资金</w:t>
            </w:r>
          </w:p>
        </w:tc>
        <w:tc>
          <w:tcPr>
            <w:tcW w:w="1918" w:type="dxa"/>
            <w:gridSpan w:val="2"/>
            <w:vAlign w:val="center"/>
          </w:tcPr>
          <w:p w14:paraId="1895B1F3">
            <w:pPr>
              <w:spacing w:line="360" w:lineRule="auto"/>
              <w:jc w:val="center"/>
              <w:rPr>
                <w:rFonts w:hint="eastAsia" w:ascii="宋体" w:hAnsi="宋体" w:cs="宋体"/>
                <w:szCs w:val="21"/>
                <w:highlight w:val="none"/>
              </w:rPr>
            </w:pPr>
          </w:p>
        </w:tc>
        <w:tc>
          <w:tcPr>
            <w:tcW w:w="1160" w:type="dxa"/>
            <w:vMerge w:val="continue"/>
            <w:vAlign w:val="center"/>
          </w:tcPr>
          <w:p w14:paraId="41D86715">
            <w:pPr>
              <w:spacing w:line="360" w:lineRule="auto"/>
              <w:jc w:val="center"/>
              <w:rPr>
                <w:rFonts w:hint="eastAsia" w:ascii="宋体" w:hAnsi="宋体" w:cs="宋体"/>
                <w:szCs w:val="21"/>
                <w:highlight w:val="none"/>
              </w:rPr>
            </w:pPr>
          </w:p>
        </w:tc>
        <w:tc>
          <w:tcPr>
            <w:tcW w:w="1620" w:type="dxa"/>
            <w:gridSpan w:val="3"/>
            <w:vAlign w:val="center"/>
          </w:tcPr>
          <w:p w14:paraId="25F76620">
            <w:pPr>
              <w:spacing w:line="360" w:lineRule="auto"/>
              <w:jc w:val="center"/>
              <w:rPr>
                <w:rFonts w:hint="eastAsia" w:ascii="宋体" w:hAnsi="宋体" w:cs="宋体"/>
                <w:szCs w:val="21"/>
                <w:highlight w:val="none"/>
              </w:rPr>
            </w:pPr>
            <w:r>
              <w:rPr>
                <w:rFonts w:hint="eastAsia" w:ascii="宋体" w:hAnsi="宋体" w:cs="宋体"/>
                <w:szCs w:val="21"/>
                <w:highlight w:val="none"/>
              </w:rPr>
              <w:t>中级职称人员</w:t>
            </w:r>
          </w:p>
        </w:tc>
        <w:tc>
          <w:tcPr>
            <w:tcW w:w="2643" w:type="dxa"/>
            <w:gridSpan w:val="2"/>
            <w:vAlign w:val="center"/>
          </w:tcPr>
          <w:p w14:paraId="1F1596C5">
            <w:pPr>
              <w:spacing w:line="360" w:lineRule="auto"/>
              <w:jc w:val="center"/>
              <w:rPr>
                <w:rFonts w:hint="eastAsia" w:ascii="宋体" w:hAnsi="宋体" w:cs="宋体"/>
                <w:szCs w:val="21"/>
                <w:highlight w:val="none"/>
              </w:rPr>
            </w:pPr>
          </w:p>
        </w:tc>
      </w:tr>
      <w:tr w14:paraId="6D819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00CDE430">
            <w:pPr>
              <w:spacing w:line="360" w:lineRule="auto"/>
              <w:jc w:val="center"/>
              <w:rPr>
                <w:rFonts w:hint="eastAsia" w:ascii="宋体" w:hAnsi="宋体" w:cs="宋体"/>
                <w:szCs w:val="21"/>
                <w:highlight w:val="none"/>
              </w:rPr>
            </w:pPr>
            <w:r>
              <w:rPr>
                <w:rFonts w:hint="eastAsia" w:ascii="宋体" w:hAnsi="宋体" w:cs="宋体"/>
                <w:szCs w:val="21"/>
                <w:highlight w:val="none"/>
              </w:rPr>
              <w:t>开户银行</w:t>
            </w:r>
          </w:p>
        </w:tc>
        <w:tc>
          <w:tcPr>
            <w:tcW w:w="1918" w:type="dxa"/>
            <w:gridSpan w:val="2"/>
            <w:vAlign w:val="center"/>
          </w:tcPr>
          <w:p w14:paraId="75B7B743">
            <w:pPr>
              <w:spacing w:line="360" w:lineRule="auto"/>
              <w:jc w:val="center"/>
              <w:rPr>
                <w:rFonts w:hint="eastAsia" w:ascii="宋体" w:hAnsi="宋体" w:cs="宋体"/>
                <w:szCs w:val="21"/>
                <w:highlight w:val="none"/>
              </w:rPr>
            </w:pPr>
          </w:p>
        </w:tc>
        <w:tc>
          <w:tcPr>
            <w:tcW w:w="1160" w:type="dxa"/>
            <w:vMerge w:val="continue"/>
            <w:vAlign w:val="center"/>
          </w:tcPr>
          <w:p w14:paraId="23FE7D87">
            <w:pPr>
              <w:spacing w:line="360" w:lineRule="auto"/>
              <w:jc w:val="center"/>
              <w:rPr>
                <w:rFonts w:hint="eastAsia" w:ascii="宋体" w:hAnsi="宋体" w:cs="宋体"/>
                <w:szCs w:val="21"/>
                <w:highlight w:val="none"/>
              </w:rPr>
            </w:pPr>
          </w:p>
        </w:tc>
        <w:tc>
          <w:tcPr>
            <w:tcW w:w="1620" w:type="dxa"/>
            <w:gridSpan w:val="3"/>
            <w:vAlign w:val="center"/>
          </w:tcPr>
          <w:p w14:paraId="7522708B">
            <w:pPr>
              <w:spacing w:line="360" w:lineRule="auto"/>
              <w:jc w:val="center"/>
              <w:rPr>
                <w:rFonts w:hint="eastAsia" w:ascii="宋体" w:hAnsi="宋体" w:cs="宋体"/>
                <w:szCs w:val="21"/>
                <w:highlight w:val="none"/>
              </w:rPr>
            </w:pPr>
            <w:r>
              <w:rPr>
                <w:rFonts w:hint="eastAsia" w:ascii="宋体" w:hAnsi="宋体" w:cs="宋体"/>
                <w:szCs w:val="21"/>
                <w:highlight w:val="none"/>
              </w:rPr>
              <w:t>初级职称人员</w:t>
            </w:r>
          </w:p>
        </w:tc>
        <w:tc>
          <w:tcPr>
            <w:tcW w:w="2643" w:type="dxa"/>
            <w:gridSpan w:val="2"/>
            <w:vAlign w:val="center"/>
          </w:tcPr>
          <w:p w14:paraId="45446FCB">
            <w:pPr>
              <w:spacing w:line="360" w:lineRule="auto"/>
              <w:jc w:val="center"/>
              <w:rPr>
                <w:rFonts w:hint="eastAsia" w:ascii="宋体" w:hAnsi="宋体" w:cs="宋体"/>
                <w:szCs w:val="21"/>
                <w:highlight w:val="none"/>
              </w:rPr>
            </w:pPr>
          </w:p>
        </w:tc>
      </w:tr>
      <w:tr w14:paraId="712E8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20687CED">
            <w:pPr>
              <w:spacing w:line="360" w:lineRule="auto"/>
              <w:jc w:val="center"/>
              <w:rPr>
                <w:rFonts w:hint="eastAsia" w:ascii="宋体" w:hAnsi="宋体" w:cs="宋体"/>
                <w:szCs w:val="21"/>
                <w:highlight w:val="none"/>
              </w:rPr>
            </w:pPr>
            <w:r>
              <w:rPr>
                <w:rFonts w:hint="eastAsia" w:ascii="宋体" w:hAnsi="宋体" w:cs="宋体"/>
                <w:szCs w:val="21"/>
                <w:highlight w:val="none"/>
              </w:rPr>
              <w:t>账号</w:t>
            </w:r>
          </w:p>
        </w:tc>
        <w:tc>
          <w:tcPr>
            <w:tcW w:w="1918" w:type="dxa"/>
            <w:gridSpan w:val="2"/>
            <w:vAlign w:val="center"/>
          </w:tcPr>
          <w:p w14:paraId="638D42AC">
            <w:pPr>
              <w:spacing w:line="360" w:lineRule="auto"/>
              <w:jc w:val="center"/>
              <w:rPr>
                <w:rFonts w:hint="eastAsia" w:ascii="宋体" w:hAnsi="宋体" w:cs="宋体"/>
                <w:szCs w:val="21"/>
                <w:highlight w:val="none"/>
              </w:rPr>
            </w:pPr>
          </w:p>
        </w:tc>
        <w:tc>
          <w:tcPr>
            <w:tcW w:w="1160" w:type="dxa"/>
            <w:vMerge w:val="continue"/>
            <w:vAlign w:val="center"/>
          </w:tcPr>
          <w:p w14:paraId="3D43B1A0">
            <w:pPr>
              <w:spacing w:line="360" w:lineRule="auto"/>
              <w:jc w:val="center"/>
              <w:rPr>
                <w:rFonts w:hint="eastAsia" w:ascii="宋体" w:hAnsi="宋体" w:cs="宋体"/>
                <w:szCs w:val="21"/>
                <w:highlight w:val="none"/>
              </w:rPr>
            </w:pPr>
          </w:p>
        </w:tc>
        <w:tc>
          <w:tcPr>
            <w:tcW w:w="1620" w:type="dxa"/>
            <w:gridSpan w:val="3"/>
            <w:vAlign w:val="center"/>
          </w:tcPr>
          <w:p w14:paraId="69022B9A">
            <w:pPr>
              <w:spacing w:line="360" w:lineRule="auto"/>
              <w:jc w:val="center"/>
              <w:rPr>
                <w:rFonts w:hint="eastAsia" w:ascii="宋体" w:hAnsi="宋体" w:cs="宋体"/>
                <w:szCs w:val="21"/>
                <w:highlight w:val="none"/>
              </w:rPr>
            </w:pPr>
            <w:r>
              <w:rPr>
                <w:rFonts w:hint="eastAsia" w:ascii="宋体" w:hAnsi="宋体" w:cs="宋体"/>
                <w:szCs w:val="21"/>
                <w:highlight w:val="none"/>
              </w:rPr>
              <w:t>技工</w:t>
            </w:r>
          </w:p>
        </w:tc>
        <w:tc>
          <w:tcPr>
            <w:tcW w:w="2643" w:type="dxa"/>
            <w:gridSpan w:val="2"/>
            <w:vAlign w:val="center"/>
          </w:tcPr>
          <w:p w14:paraId="134FA30B">
            <w:pPr>
              <w:spacing w:line="360" w:lineRule="auto"/>
              <w:jc w:val="center"/>
              <w:rPr>
                <w:rFonts w:hint="eastAsia" w:ascii="宋体" w:hAnsi="宋体" w:cs="宋体"/>
                <w:szCs w:val="21"/>
                <w:highlight w:val="none"/>
              </w:rPr>
            </w:pPr>
          </w:p>
        </w:tc>
      </w:tr>
      <w:tr w14:paraId="6C2AB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vAlign w:val="center"/>
          </w:tcPr>
          <w:p w14:paraId="20E25538">
            <w:pPr>
              <w:spacing w:line="360" w:lineRule="auto"/>
              <w:jc w:val="center"/>
              <w:rPr>
                <w:rFonts w:hint="eastAsia" w:ascii="宋体" w:hAnsi="宋体" w:cs="宋体"/>
                <w:szCs w:val="21"/>
                <w:highlight w:val="none"/>
              </w:rPr>
            </w:pPr>
            <w:r>
              <w:rPr>
                <w:rFonts w:hint="eastAsia" w:ascii="宋体" w:hAnsi="宋体" w:cs="宋体"/>
                <w:szCs w:val="21"/>
                <w:highlight w:val="none"/>
              </w:rPr>
              <w:t>经营范围</w:t>
            </w:r>
          </w:p>
        </w:tc>
        <w:tc>
          <w:tcPr>
            <w:tcW w:w="7341" w:type="dxa"/>
            <w:gridSpan w:val="8"/>
            <w:vAlign w:val="center"/>
          </w:tcPr>
          <w:p w14:paraId="25EC0FE6">
            <w:pPr>
              <w:spacing w:line="360" w:lineRule="auto"/>
              <w:jc w:val="center"/>
              <w:rPr>
                <w:rFonts w:hint="eastAsia" w:ascii="宋体" w:hAnsi="宋体" w:cs="宋体"/>
                <w:szCs w:val="21"/>
                <w:highlight w:val="none"/>
              </w:rPr>
            </w:pPr>
          </w:p>
        </w:tc>
      </w:tr>
      <w:tr w14:paraId="33DCE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3E335A15">
            <w:pPr>
              <w:spacing w:line="360" w:lineRule="auto"/>
              <w:jc w:val="center"/>
              <w:rPr>
                <w:rFonts w:hint="eastAsia" w:ascii="宋体" w:hAnsi="宋体" w:cs="宋体"/>
                <w:szCs w:val="21"/>
                <w:highlight w:val="none"/>
              </w:rPr>
            </w:pPr>
            <w:r>
              <w:rPr>
                <w:rFonts w:hint="eastAsia" w:ascii="宋体" w:hAnsi="宋体" w:cs="宋体"/>
                <w:szCs w:val="21"/>
                <w:highlight w:val="none"/>
              </w:rPr>
              <w:t>备注</w:t>
            </w:r>
          </w:p>
        </w:tc>
        <w:tc>
          <w:tcPr>
            <w:tcW w:w="7341" w:type="dxa"/>
            <w:gridSpan w:val="8"/>
            <w:vAlign w:val="center"/>
          </w:tcPr>
          <w:p w14:paraId="5313A63A">
            <w:pPr>
              <w:spacing w:line="360" w:lineRule="auto"/>
              <w:jc w:val="center"/>
              <w:rPr>
                <w:rFonts w:hint="eastAsia" w:ascii="宋体" w:hAnsi="宋体" w:cs="宋体"/>
                <w:szCs w:val="21"/>
                <w:highlight w:val="none"/>
              </w:rPr>
            </w:pPr>
          </w:p>
        </w:tc>
      </w:tr>
    </w:tbl>
    <w:p w14:paraId="3D96707E">
      <w:pPr>
        <w:spacing w:line="360" w:lineRule="auto"/>
        <w:ind w:firstLine="480"/>
        <w:jc w:val="right"/>
        <w:rPr>
          <w:rFonts w:hint="eastAsia" w:ascii="宋体" w:hAnsi="宋体" w:cs="宋体"/>
          <w:szCs w:val="21"/>
          <w:highlight w:val="none"/>
        </w:rPr>
      </w:pPr>
    </w:p>
    <w:p w14:paraId="4F667487">
      <w:pPr>
        <w:spacing w:line="360" w:lineRule="auto"/>
        <w:ind w:firstLine="480"/>
        <w:jc w:val="right"/>
        <w:rPr>
          <w:rFonts w:hint="eastAsia" w:ascii="宋体" w:hAnsi="宋体" w:cs="宋体"/>
          <w:szCs w:val="21"/>
          <w:highlight w:val="none"/>
        </w:rPr>
      </w:pPr>
      <w:r>
        <w:rPr>
          <w:rFonts w:hint="eastAsia" w:ascii="宋体" w:hAnsi="宋体" w:cs="宋体"/>
          <w:szCs w:val="21"/>
          <w:highlight w:val="none"/>
        </w:rPr>
        <w:t>供应商：（加盖公章）</w:t>
      </w:r>
    </w:p>
    <w:p w14:paraId="28914852">
      <w:pPr>
        <w:spacing w:line="360" w:lineRule="auto"/>
        <w:ind w:firstLine="480"/>
        <w:jc w:val="right"/>
        <w:rPr>
          <w:rFonts w:hint="eastAsia" w:ascii="宋体" w:hAnsi="宋体" w:cs="宋体"/>
          <w:szCs w:val="21"/>
          <w:highlight w:val="none"/>
        </w:rPr>
      </w:pPr>
      <w:r>
        <w:rPr>
          <w:rFonts w:hint="eastAsia" w:ascii="宋体" w:hAnsi="宋体" w:cs="宋体"/>
          <w:szCs w:val="21"/>
          <w:highlight w:val="none"/>
        </w:rPr>
        <w:t>法定代表人或被授权人：（签字或盖章）</w:t>
      </w:r>
    </w:p>
    <w:p w14:paraId="68902D21">
      <w:pPr>
        <w:spacing w:line="360" w:lineRule="auto"/>
        <w:ind w:firstLine="1320"/>
        <w:jc w:val="right"/>
        <w:rPr>
          <w:rFonts w:hint="eastAsia" w:ascii="宋体" w:hAnsi="宋体" w:cs="宋体"/>
          <w:szCs w:val="21"/>
          <w:highlight w:val="none"/>
        </w:rPr>
      </w:pPr>
      <w:r>
        <w:rPr>
          <w:rFonts w:hint="eastAsia" w:ascii="宋体" w:hAnsi="宋体" w:cs="宋体"/>
          <w:szCs w:val="21"/>
          <w:highlight w:val="none"/>
        </w:rPr>
        <w:t>年      月     日</w:t>
      </w:r>
    </w:p>
    <w:p w14:paraId="7E2045CB">
      <w:pPr>
        <w:spacing w:line="360" w:lineRule="auto"/>
        <w:ind w:firstLine="422" w:firstLineChars="200"/>
        <w:rPr>
          <w:rFonts w:hint="eastAsia" w:ascii="宋体" w:hAnsi="宋体"/>
          <w:b/>
          <w:szCs w:val="21"/>
          <w:highlight w:val="none"/>
          <w:u w:val="single"/>
        </w:rPr>
      </w:pPr>
      <w:r>
        <w:rPr>
          <w:rFonts w:hint="eastAsia" w:ascii="宋体" w:hAnsi="宋体" w:cs="宋体"/>
          <w:b/>
          <w:szCs w:val="21"/>
          <w:highlight w:val="none"/>
        </w:rPr>
        <w:br w:type="page" w:clear="all"/>
      </w:r>
      <w:bookmarkStart w:id="112" w:name="_Toc56409114"/>
      <w:bookmarkStart w:id="113" w:name="_Toc55707673"/>
      <w:bookmarkStart w:id="114" w:name="_Toc434481560"/>
      <w:bookmarkStart w:id="115" w:name="_Toc439777351"/>
      <w:bookmarkStart w:id="116" w:name="_Toc54372237"/>
      <w:bookmarkStart w:id="117" w:name="_Toc56153862"/>
      <w:bookmarkStart w:id="118" w:name="_Toc56139088"/>
      <w:bookmarkStart w:id="119" w:name="_Toc56141898"/>
      <w:bookmarkStart w:id="120" w:name="_Toc59896715"/>
      <w:bookmarkStart w:id="121" w:name="_Toc55639393"/>
      <w:bookmarkStart w:id="122" w:name="_Toc54372071"/>
      <w:bookmarkStart w:id="123" w:name="_Toc59900983"/>
      <w:bookmarkStart w:id="124" w:name="_Toc439777159"/>
      <w:bookmarkStart w:id="125" w:name="_Toc55705168"/>
      <w:bookmarkStart w:id="126" w:name="_Toc440442375"/>
      <w:bookmarkStart w:id="127" w:name="_Toc54372655"/>
      <w:bookmarkStart w:id="128" w:name="_Toc55654540"/>
    </w:p>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14:paraId="372271C9">
      <w:pPr>
        <w:spacing w:line="360" w:lineRule="auto"/>
        <w:jc w:val="left"/>
        <w:rPr>
          <w:rFonts w:hint="eastAsia" w:ascii="宋体" w:hAnsi="宋体"/>
          <w:szCs w:val="21"/>
          <w:highlight w:val="none"/>
        </w:rPr>
      </w:pPr>
    </w:p>
    <w:p w14:paraId="3F73FB5E">
      <w:pPr>
        <w:pStyle w:val="6"/>
        <w:spacing w:before="0" w:after="0" w:line="360" w:lineRule="auto"/>
        <w:ind w:firstLine="422" w:firstLineChars="200"/>
        <w:rPr>
          <w:rFonts w:hint="eastAsia" w:ascii="宋体" w:hAnsi="宋体" w:eastAsia="宋体"/>
          <w:sz w:val="21"/>
          <w:szCs w:val="21"/>
          <w:highlight w:val="none"/>
        </w:rPr>
      </w:pPr>
      <w:r>
        <w:rPr>
          <w:rFonts w:hint="eastAsia" w:ascii="宋体" w:hAnsi="宋体" w:eastAsia="宋体"/>
          <w:sz w:val="21"/>
          <w:szCs w:val="21"/>
          <w:highlight w:val="none"/>
        </w:rPr>
        <w:t>13.首次响应报价表</w:t>
      </w:r>
    </w:p>
    <w:p w14:paraId="5F7F2CB3">
      <w:pPr>
        <w:pStyle w:val="6"/>
        <w:spacing w:before="0" w:after="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w:t>
      </w:r>
    </w:p>
    <w:tbl>
      <w:tblPr>
        <w:tblStyle w:val="20"/>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57"/>
        <w:gridCol w:w="2638"/>
        <w:gridCol w:w="1690"/>
        <w:gridCol w:w="3225"/>
        <w:gridCol w:w="1015"/>
      </w:tblGrid>
      <w:tr w14:paraId="79B0FB3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vAlign w:val="center"/>
          </w:tcPr>
          <w:p w14:paraId="2CE2A9EB">
            <w:pPr>
              <w:spacing w:line="36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1399" w:type="pct"/>
            <w:tcBorders>
              <w:top w:val="single" w:color="000000" w:sz="4" w:space="0"/>
              <w:left w:val="single" w:color="000000" w:sz="4" w:space="0"/>
              <w:bottom w:val="single" w:color="000000" w:sz="4" w:space="0"/>
              <w:right w:val="single" w:color="000000" w:sz="4" w:space="0"/>
            </w:tcBorders>
            <w:vAlign w:val="center"/>
          </w:tcPr>
          <w:p w14:paraId="0E9D5C83">
            <w:pPr>
              <w:spacing w:line="360" w:lineRule="auto"/>
              <w:jc w:val="center"/>
              <w:rPr>
                <w:rFonts w:hint="eastAsia" w:ascii="宋体" w:hAnsi="宋体" w:cs="宋体"/>
                <w:b/>
                <w:szCs w:val="21"/>
                <w:highlight w:val="none"/>
              </w:rPr>
            </w:pPr>
            <w:r>
              <w:rPr>
                <w:rFonts w:hint="eastAsia" w:ascii="宋体" w:hAnsi="宋体" w:cs="宋体"/>
                <w:b/>
                <w:szCs w:val="21"/>
                <w:highlight w:val="none"/>
              </w:rPr>
              <w:t>项目内容</w:t>
            </w:r>
          </w:p>
        </w:tc>
        <w:tc>
          <w:tcPr>
            <w:tcW w:w="896" w:type="pct"/>
            <w:tcBorders>
              <w:top w:val="single" w:color="000000" w:sz="4" w:space="0"/>
              <w:left w:val="single" w:color="000000" w:sz="4" w:space="0"/>
              <w:bottom w:val="single" w:color="000000" w:sz="4" w:space="0"/>
              <w:right w:val="single" w:color="000000" w:sz="4" w:space="0"/>
            </w:tcBorders>
            <w:vAlign w:val="center"/>
          </w:tcPr>
          <w:p w14:paraId="45F2D3A6">
            <w:pPr>
              <w:spacing w:line="360" w:lineRule="auto"/>
              <w:jc w:val="center"/>
              <w:rPr>
                <w:rFonts w:hint="eastAsia" w:ascii="宋体" w:hAnsi="宋体" w:cs="宋体"/>
                <w:b/>
                <w:szCs w:val="21"/>
                <w:highlight w:val="none"/>
              </w:rPr>
            </w:pPr>
            <w:r>
              <w:rPr>
                <w:rFonts w:hint="eastAsia" w:ascii="宋体" w:hAnsi="宋体" w:cs="宋体"/>
                <w:b/>
                <w:szCs w:val="21"/>
                <w:highlight w:val="none"/>
              </w:rPr>
              <w:t>报价轮次</w:t>
            </w:r>
          </w:p>
        </w:tc>
        <w:tc>
          <w:tcPr>
            <w:tcW w:w="1710" w:type="pct"/>
            <w:tcBorders>
              <w:top w:val="single" w:color="000000" w:sz="4" w:space="0"/>
              <w:left w:val="single" w:color="000000" w:sz="4" w:space="0"/>
              <w:bottom w:val="single" w:color="000000" w:sz="4" w:space="0"/>
              <w:right w:val="single" w:color="000000" w:sz="4" w:space="0"/>
            </w:tcBorders>
            <w:vAlign w:val="center"/>
          </w:tcPr>
          <w:p w14:paraId="0FAE5AC7">
            <w:pPr>
              <w:spacing w:line="360" w:lineRule="auto"/>
              <w:jc w:val="center"/>
              <w:rPr>
                <w:rFonts w:hint="eastAsia" w:ascii="宋体" w:hAnsi="宋体" w:cs="宋体"/>
                <w:b/>
                <w:szCs w:val="21"/>
                <w:highlight w:val="none"/>
              </w:rPr>
            </w:pPr>
            <w:r>
              <w:rPr>
                <w:rFonts w:hint="eastAsia" w:ascii="宋体" w:hAnsi="宋体" w:cs="宋体"/>
                <w:b/>
                <w:szCs w:val="21"/>
                <w:highlight w:val="none"/>
              </w:rPr>
              <w:t>磋商响应报价（元）</w:t>
            </w:r>
          </w:p>
        </w:tc>
        <w:tc>
          <w:tcPr>
            <w:tcW w:w="538" w:type="pct"/>
            <w:tcBorders>
              <w:top w:val="single" w:color="000000" w:sz="4" w:space="0"/>
              <w:left w:val="single" w:color="000000" w:sz="4" w:space="0"/>
              <w:bottom w:val="single" w:color="000000" w:sz="4" w:space="0"/>
              <w:right w:val="single" w:color="000000" w:sz="4" w:space="0"/>
            </w:tcBorders>
            <w:vAlign w:val="center"/>
          </w:tcPr>
          <w:p w14:paraId="2EDD451B">
            <w:pPr>
              <w:spacing w:line="360" w:lineRule="auto"/>
              <w:jc w:val="center"/>
              <w:rPr>
                <w:rFonts w:hint="eastAsia" w:ascii="宋体" w:hAnsi="宋体" w:cs="宋体"/>
                <w:b/>
                <w:szCs w:val="21"/>
                <w:highlight w:val="none"/>
              </w:rPr>
            </w:pPr>
            <w:r>
              <w:rPr>
                <w:rFonts w:hint="eastAsia" w:ascii="宋体" w:hAnsi="宋体" w:cs="宋体"/>
                <w:b/>
                <w:szCs w:val="21"/>
                <w:highlight w:val="none"/>
              </w:rPr>
              <w:t>备注</w:t>
            </w:r>
          </w:p>
        </w:tc>
      </w:tr>
      <w:tr w14:paraId="1D529F4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vAlign w:val="center"/>
          </w:tcPr>
          <w:p w14:paraId="15A26817">
            <w:pPr>
              <w:spacing w:line="360" w:lineRule="auto"/>
              <w:jc w:val="center"/>
              <w:rPr>
                <w:rFonts w:hint="eastAsia" w:ascii="宋体" w:hAnsi="宋体" w:cs="宋体"/>
                <w:bCs/>
                <w:szCs w:val="21"/>
                <w:highlight w:val="none"/>
              </w:rPr>
            </w:pPr>
            <w:r>
              <w:rPr>
                <w:rFonts w:hint="eastAsia" w:ascii="宋体" w:hAnsi="宋体" w:cs="宋体"/>
                <w:bCs/>
                <w:szCs w:val="21"/>
                <w:highlight w:val="none"/>
              </w:rPr>
              <w:t>1</w:t>
            </w:r>
          </w:p>
        </w:tc>
        <w:tc>
          <w:tcPr>
            <w:tcW w:w="1399" w:type="pct"/>
            <w:tcBorders>
              <w:top w:val="single" w:color="000000" w:sz="4" w:space="0"/>
              <w:left w:val="single" w:color="000000" w:sz="4" w:space="0"/>
              <w:right w:val="single" w:color="000000" w:sz="4" w:space="0"/>
            </w:tcBorders>
            <w:vAlign w:val="center"/>
          </w:tcPr>
          <w:p w14:paraId="127FFE9E">
            <w:pPr>
              <w:spacing w:line="360" w:lineRule="auto"/>
              <w:jc w:val="center"/>
              <w:rPr>
                <w:rFonts w:hint="eastAsia" w:ascii="宋体" w:hAnsi="宋体" w:eastAsia="宋体" w:cs="宋体"/>
                <w:b/>
                <w:bCs/>
                <w:szCs w:val="21"/>
                <w:highlight w:val="none"/>
                <w:lang w:eastAsia="zh-CN"/>
              </w:rPr>
            </w:pPr>
            <w:r>
              <w:rPr>
                <w:rFonts w:hint="eastAsia" w:ascii="宋体" w:hAnsi="宋体" w:cs="宋体"/>
                <w:bCs/>
                <w:szCs w:val="21"/>
                <w:highlight w:val="none"/>
                <w:lang w:eastAsia="zh-CN"/>
              </w:rPr>
              <w:t>“中国医药城大健康产业论坛”策划执行服务项目</w:t>
            </w:r>
          </w:p>
        </w:tc>
        <w:tc>
          <w:tcPr>
            <w:tcW w:w="896" w:type="pct"/>
            <w:tcBorders>
              <w:top w:val="single" w:color="000000" w:sz="4" w:space="0"/>
              <w:left w:val="single" w:color="000000" w:sz="4" w:space="0"/>
              <w:bottom w:val="single" w:color="000000" w:sz="4" w:space="0"/>
              <w:right w:val="single" w:color="000000" w:sz="4" w:space="0"/>
            </w:tcBorders>
            <w:vAlign w:val="center"/>
          </w:tcPr>
          <w:p w14:paraId="5357B915">
            <w:pPr>
              <w:spacing w:line="360" w:lineRule="auto"/>
              <w:jc w:val="center"/>
              <w:rPr>
                <w:rFonts w:hint="eastAsia" w:ascii="宋体" w:hAnsi="宋体" w:cs="宋体"/>
                <w:bCs/>
                <w:szCs w:val="21"/>
                <w:highlight w:val="none"/>
              </w:rPr>
            </w:pPr>
            <w:r>
              <w:rPr>
                <w:rFonts w:hint="eastAsia" w:ascii="宋体" w:hAnsi="宋体" w:cs="宋体"/>
                <w:bCs/>
                <w:szCs w:val="21"/>
                <w:highlight w:val="none"/>
              </w:rPr>
              <w:t>首次报价</w:t>
            </w:r>
          </w:p>
        </w:tc>
        <w:tc>
          <w:tcPr>
            <w:tcW w:w="1710" w:type="pct"/>
            <w:tcBorders>
              <w:top w:val="single" w:color="000000" w:sz="4" w:space="0"/>
              <w:left w:val="single" w:color="000000" w:sz="4" w:space="0"/>
              <w:bottom w:val="single" w:color="000000" w:sz="4" w:space="0"/>
              <w:right w:val="single" w:color="000000" w:sz="4" w:space="0"/>
            </w:tcBorders>
            <w:vAlign w:val="center"/>
          </w:tcPr>
          <w:p w14:paraId="6764319E">
            <w:pPr>
              <w:spacing w:line="360" w:lineRule="auto"/>
              <w:rPr>
                <w:rFonts w:hint="eastAsia" w:ascii="宋体" w:hAnsi="宋体" w:cs="宋体"/>
                <w:szCs w:val="21"/>
                <w:highlight w:val="none"/>
              </w:rPr>
            </w:pPr>
          </w:p>
        </w:tc>
        <w:tc>
          <w:tcPr>
            <w:tcW w:w="538" w:type="pct"/>
            <w:tcBorders>
              <w:top w:val="single" w:color="000000" w:sz="4" w:space="0"/>
              <w:left w:val="single" w:color="000000" w:sz="4" w:space="0"/>
              <w:bottom w:val="single" w:color="000000" w:sz="4" w:space="0"/>
              <w:right w:val="single" w:color="000000" w:sz="4" w:space="0"/>
            </w:tcBorders>
            <w:vAlign w:val="center"/>
          </w:tcPr>
          <w:p w14:paraId="09D0762F">
            <w:pPr>
              <w:spacing w:line="360" w:lineRule="auto"/>
              <w:rPr>
                <w:rFonts w:hint="eastAsia" w:ascii="宋体" w:hAnsi="宋体" w:cs="宋体"/>
                <w:szCs w:val="21"/>
                <w:highlight w:val="none"/>
              </w:rPr>
            </w:pPr>
          </w:p>
        </w:tc>
      </w:tr>
    </w:tbl>
    <w:p w14:paraId="05B41A3E">
      <w:pPr>
        <w:spacing w:line="360" w:lineRule="auto"/>
        <w:rPr>
          <w:rFonts w:hint="eastAsia" w:ascii="宋体" w:hAnsi="宋体" w:cs="宋体"/>
          <w:szCs w:val="21"/>
          <w:highlight w:val="none"/>
        </w:rPr>
      </w:pPr>
    </w:p>
    <w:p w14:paraId="695F74A4">
      <w:pPr>
        <w:spacing w:line="360" w:lineRule="auto"/>
        <w:ind w:firstLine="4620" w:firstLineChars="2200"/>
        <w:rPr>
          <w:rFonts w:hint="eastAsia" w:ascii="宋体" w:hAnsi="宋体" w:cs="宋体"/>
          <w:szCs w:val="21"/>
          <w:highlight w:val="none"/>
        </w:rPr>
      </w:pPr>
      <w:r>
        <w:rPr>
          <w:rFonts w:hint="eastAsia" w:ascii="宋体" w:hAnsi="宋体" w:cs="宋体"/>
          <w:szCs w:val="21"/>
          <w:highlight w:val="none"/>
        </w:rPr>
        <w:t>竞争性磋商响应单位：（加盖公章）</w:t>
      </w:r>
    </w:p>
    <w:p w14:paraId="0E0AB9A8">
      <w:pPr>
        <w:spacing w:line="360" w:lineRule="auto"/>
        <w:ind w:firstLine="4410" w:firstLineChars="2100"/>
        <w:rPr>
          <w:rFonts w:hint="eastAsia" w:ascii="宋体" w:hAnsi="宋体" w:cs="宋体"/>
          <w:szCs w:val="21"/>
          <w:highlight w:val="none"/>
        </w:rPr>
      </w:pPr>
      <w:r>
        <w:rPr>
          <w:rFonts w:hint="eastAsia" w:ascii="宋体" w:hAnsi="宋体" w:cs="宋体"/>
          <w:szCs w:val="21"/>
          <w:highlight w:val="none"/>
          <w:lang w:val="zh-CN"/>
        </w:rPr>
        <w:t>法定代表人或其授权委托人：</w:t>
      </w:r>
      <w:r>
        <w:rPr>
          <w:rFonts w:hint="eastAsia" w:ascii="宋体" w:hAnsi="宋体" w:cs="宋体"/>
          <w:bCs/>
          <w:spacing w:val="10"/>
          <w:szCs w:val="21"/>
          <w:highlight w:val="none"/>
        </w:rPr>
        <w:t>（签字或盖章）</w:t>
      </w:r>
    </w:p>
    <w:p w14:paraId="4C812218">
      <w:pPr>
        <w:spacing w:line="360" w:lineRule="auto"/>
        <w:rPr>
          <w:sz w:val="20"/>
          <w:highlight w:val="none"/>
        </w:rPr>
      </w:pPr>
    </w:p>
    <w:p w14:paraId="1105D82D">
      <w:pPr>
        <w:pStyle w:val="37"/>
        <w:spacing w:line="360" w:lineRule="auto"/>
        <w:ind w:firstLine="5400"/>
        <w:jc w:val="left"/>
        <w:rPr>
          <w:rFonts w:ascii="Times New Roman" w:hAnsi="Times New Roman" w:cs="宋体"/>
          <w:b/>
          <w:bCs/>
          <w:szCs w:val="21"/>
          <w:highlight w:val="none"/>
        </w:rPr>
      </w:pPr>
      <w:r>
        <w:rPr>
          <w:rFonts w:hint="eastAsia" w:ascii="Times New Roman" w:hAnsi="Times New Roman" w:cs="宋体"/>
          <w:szCs w:val="21"/>
          <w:highlight w:val="none"/>
        </w:rPr>
        <w:t>年  月  日</w:t>
      </w:r>
    </w:p>
    <w:p w14:paraId="2842E794">
      <w:pPr>
        <w:spacing w:line="360" w:lineRule="auto"/>
        <w:ind w:firstLine="422" w:firstLineChars="200"/>
        <w:rPr>
          <w:rFonts w:hint="eastAsia" w:ascii="宋体" w:hAnsi="宋体"/>
          <w:b/>
          <w:szCs w:val="21"/>
          <w:highlight w:val="none"/>
        </w:rPr>
      </w:pPr>
    </w:p>
    <w:p w14:paraId="29BAD935">
      <w:pPr>
        <w:spacing w:line="360" w:lineRule="auto"/>
        <w:ind w:firstLine="482"/>
        <w:rPr>
          <w:rFonts w:hint="eastAsia" w:ascii="宋体" w:hAnsi="宋体" w:cs="宋体"/>
          <w:b/>
          <w:szCs w:val="21"/>
          <w:highlight w:val="none"/>
        </w:rPr>
      </w:pPr>
      <w:r>
        <w:rPr>
          <w:rFonts w:hint="eastAsia" w:ascii="宋体" w:hAnsi="宋体" w:cs="宋体"/>
          <w:b/>
          <w:szCs w:val="21"/>
          <w:highlight w:val="none"/>
        </w:rPr>
        <w:t>注：1.</w:t>
      </w:r>
      <w:r>
        <w:rPr>
          <w:rFonts w:hint="eastAsia" w:ascii="宋体" w:hAnsi="宋体" w:cs="宋体"/>
          <w:szCs w:val="21"/>
          <w:highlight w:val="none"/>
        </w:rPr>
        <w:t>磋商报价（以人民币计价）</w:t>
      </w:r>
      <w:r>
        <w:rPr>
          <w:rFonts w:hint="eastAsia" w:ascii="宋体" w:hAnsi="宋体" w:cs="宋体"/>
          <w:bCs/>
          <w:szCs w:val="21"/>
          <w:highlight w:val="none"/>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rPr>
          <w:rFonts w:hint="eastAsia" w:ascii="宋体" w:hAnsi="宋体" w:cs="宋体"/>
          <w:szCs w:val="21"/>
          <w:highlight w:val="none"/>
        </w:rPr>
        <w:t>。</w:t>
      </w:r>
    </w:p>
    <w:p w14:paraId="002B81D3">
      <w:pPr>
        <w:spacing w:line="360" w:lineRule="auto"/>
        <w:ind w:firstLine="482"/>
        <w:rPr>
          <w:rFonts w:hint="eastAsia" w:ascii="宋体" w:hAnsi="宋体" w:cs="宋体"/>
          <w:b/>
          <w:szCs w:val="21"/>
          <w:highlight w:val="none"/>
        </w:rPr>
      </w:pPr>
      <w:r>
        <w:rPr>
          <w:rFonts w:hint="eastAsia" w:ascii="宋体" w:hAnsi="宋体" w:cs="宋体"/>
          <w:b/>
          <w:szCs w:val="21"/>
          <w:highlight w:val="none"/>
        </w:rPr>
        <w:t>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p>
    <w:p w14:paraId="20203EA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zh-CN"/>
        </w:rPr>
        <w:br w:type="page" w:clear="all"/>
      </w:r>
    </w:p>
    <w:p w14:paraId="100FDBE5">
      <w:pPr>
        <w:spacing w:line="360" w:lineRule="auto"/>
        <w:ind w:firstLine="420" w:firstLineChars="200"/>
        <w:rPr>
          <w:rFonts w:hint="eastAsia" w:ascii="宋体" w:hAnsi="宋体"/>
          <w:szCs w:val="21"/>
          <w:highlight w:val="none"/>
        </w:rPr>
        <w:sectPr>
          <w:pgSz w:w="11907" w:h="16840"/>
          <w:pgMar w:top="1134" w:right="1134" w:bottom="1134" w:left="1560" w:header="851" w:footer="851" w:gutter="0"/>
          <w:cols w:space="720" w:num="1"/>
          <w:docGrid w:linePitch="312" w:charSpace="0"/>
        </w:sectPr>
      </w:pPr>
      <w:bookmarkStart w:id="129" w:name="_Toc162859072"/>
      <w:bookmarkStart w:id="130" w:name="_Toc162919810"/>
    </w:p>
    <w:bookmarkEnd w:id="129"/>
    <w:bookmarkEnd w:id="130"/>
    <w:p w14:paraId="4B73988A">
      <w:pPr>
        <w:spacing w:line="360" w:lineRule="auto"/>
        <w:rPr>
          <w:rFonts w:hint="eastAsia" w:ascii="宋体" w:hAnsi="宋体" w:cs="宋体"/>
          <w:b/>
          <w:szCs w:val="21"/>
          <w:highlight w:val="none"/>
        </w:rPr>
      </w:pPr>
      <w:r>
        <w:rPr>
          <w:rFonts w:hint="eastAsia" w:ascii="宋体" w:hAnsi="宋体"/>
          <w:szCs w:val="21"/>
          <w:highlight w:val="none"/>
        </w:rPr>
        <w:t>14.技术说明与服务方案</w:t>
      </w:r>
    </w:p>
    <w:p w14:paraId="2CAFB063">
      <w:pPr>
        <w:spacing w:line="360" w:lineRule="auto"/>
        <w:rPr>
          <w:rFonts w:hint="eastAsia" w:ascii="宋体" w:hAnsi="宋体"/>
          <w:szCs w:val="21"/>
          <w:highlight w:val="none"/>
        </w:rPr>
      </w:pPr>
      <w:r>
        <w:rPr>
          <w:rFonts w:hint="eastAsia" w:ascii="宋体" w:hAnsi="宋体"/>
          <w:szCs w:val="21"/>
          <w:highlight w:val="none"/>
        </w:rPr>
        <w:t>15.其他（供应商认为有必要提供的声明和文件，如有自拟并自行添加）</w:t>
      </w:r>
    </w:p>
    <w:p w14:paraId="6B0EA007">
      <w:pPr>
        <w:pStyle w:val="38"/>
        <w:shd w:val="clear" w:color="auto" w:fill="FFFFFF"/>
        <w:spacing w:before="0" w:beforeAutospacing="0" w:after="0" w:afterAutospacing="0" w:line="360" w:lineRule="auto"/>
        <w:ind w:firstLine="482"/>
        <w:jc w:val="center"/>
        <w:rPr>
          <w:rFonts w:hint="eastAsia" w:ascii="宋体" w:hAnsi="宋体" w:cs="宋体"/>
          <w:b/>
          <w:sz w:val="21"/>
          <w:szCs w:val="21"/>
          <w:highlight w:val="none"/>
          <w:lang w:eastAsia="zh-CN"/>
        </w:rPr>
      </w:pPr>
    </w:p>
    <w:p w14:paraId="2B1E131F">
      <w:pPr>
        <w:pStyle w:val="38"/>
        <w:shd w:val="clear" w:color="auto" w:fill="FFFFFF"/>
        <w:spacing w:before="0" w:beforeAutospacing="0" w:after="0" w:afterAutospacing="0" w:line="360" w:lineRule="auto"/>
        <w:ind w:firstLine="482"/>
        <w:jc w:val="center"/>
        <w:rPr>
          <w:rFonts w:hint="eastAsia" w:ascii="宋体" w:hAnsi="宋体" w:cs="宋体"/>
          <w:sz w:val="21"/>
          <w:szCs w:val="21"/>
          <w:highlight w:val="none"/>
          <w:lang w:eastAsia="zh-CN"/>
        </w:rPr>
      </w:pPr>
      <w:r>
        <w:rPr>
          <w:rFonts w:hint="eastAsia" w:ascii="宋体" w:hAnsi="宋体" w:cs="宋体"/>
          <w:b/>
          <w:sz w:val="21"/>
          <w:szCs w:val="21"/>
          <w:highlight w:val="none"/>
          <w:lang w:eastAsia="zh-CN"/>
        </w:rPr>
        <w:t>中小企业划型标准规定</w:t>
      </w:r>
    </w:p>
    <w:p w14:paraId="3BD0595D">
      <w:pPr>
        <w:spacing w:line="360" w:lineRule="auto"/>
        <w:ind w:firstLine="480"/>
        <w:rPr>
          <w:rFonts w:hint="eastAsia" w:ascii="宋体" w:hAnsi="宋体" w:cs="宋体"/>
          <w:szCs w:val="21"/>
          <w:highlight w:val="none"/>
        </w:rPr>
      </w:pPr>
      <w:r>
        <w:rPr>
          <w:rFonts w:hint="eastAsia" w:ascii="宋体" w:hAnsi="宋体" w:cs="宋体"/>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3011B1A">
      <w:pPr>
        <w:spacing w:line="360" w:lineRule="auto"/>
        <w:ind w:firstLine="480"/>
        <w:rPr>
          <w:rFonts w:hint="eastAsia" w:ascii="宋体" w:hAnsi="宋体" w:cs="宋体"/>
          <w:szCs w:val="21"/>
          <w:highlight w:val="none"/>
        </w:rPr>
      </w:pPr>
      <w:r>
        <w:rPr>
          <w:rFonts w:hint="eastAsia" w:ascii="宋体" w:hAnsi="宋体" w:cs="宋体"/>
          <w:szCs w:val="21"/>
          <w:highlight w:val="none"/>
        </w:rPr>
        <w:t>各行业划型标准为：</w:t>
      </w:r>
    </w:p>
    <w:p w14:paraId="1C7997E1">
      <w:pPr>
        <w:spacing w:line="360" w:lineRule="auto"/>
        <w:ind w:firstLine="480"/>
        <w:rPr>
          <w:rFonts w:hint="eastAsia" w:ascii="宋体" w:hAnsi="宋体" w:cs="宋体"/>
          <w:szCs w:val="21"/>
          <w:highlight w:val="none"/>
        </w:rPr>
      </w:pPr>
      <w:r>
        <w:rPr>
          <w:rFonts w:hint="eastAsia" w:ascii="宋体" w:hAnsi="宋体" w:cs="宋体"/>
          <w:szCs w:val="21"/>
          <w:highlight w:val="none"/>
        </w:rPr>
        <w:t>（一）农、林、牧、渔业。营业收入20000万元以下的为中小微型企业。其中，营业收入500万元及以上的为中型企业，营业收入50万元及以上的为小型企业，营业收入50万元以下的为微型企业。</w:t>
      </w:r>
    </w:p>
    <w:p w14:paraId="7FC447A2">
      <w:pPr>
        <w:spacing w:line="360" w:lineRule="auto"/>
        <w:ind w:firstLine="480"/>
        <w:rPr>
          <w:rFonts w:hint="eastAsia" w:ascii="宋体" w:hAnsi="宋体" w:cs="宋体"/>
          <w:szCs w:val="21"/>
          <w:highlight w:val="none"/>
        </w:rPr>
      </w:pPr>
      <w:r>
        <w:rPr>
          <w:rFonts w:hint="eastAsia" w:ascii="宋体" w:hAnsi="宋体" w:cs="宋体"/>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7FD1B32">
      <w:pPr>
        <w:spacing w:line="360" w:lineRule="auto"/>
        <w:ind w:firstLine="480"/>
        <w:rPr>
          <w:rFonts w:hint="eastAsia" w:ascii="宋体" w:hAnsi="宋体" w:cs="宋体"/>
          <w:szCs w:val="21"/>
          <w:highlight w:val="none"/>
        </w:rPr>
      </w:pPr>
      <w:r>
        <w:rPr>
          <w:rFonts w:hint="eastAsia" w:ascii="宋体" w:hAnsi="宋体" w:cs="宋体"/>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409250E">
      <w:pPr>
        <w:spacing w:line="360" w:lineRule="auto"/>
        <w:ind w:firstLine="480"/>
        <w:rPr>
          <w:rFonts w:hint="eastAsia" w:ascii="宋体" w:hAnsi="宋体" w:cs="宋体"/>
          <w:szCs w:val="21"/>
          <w:highlight w:val="none"/>
        </w:rPr>
      </w:pPr>
      <w:r>
        <w:rPr>
          <w:rFonts w:hint="eastAsia" w:ascii="宋体" w:hAnsi="宋体" w:cs="宋体"/>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DDF6665">
      <w:pPr>
        <w:spacing w:line="360" w:lineRule="auto"/>
        <w:ind w:firstLine="480"/>
        <w:rPr>
          <w:rFonts w:hint="eastAsia" w:ascii="宋体" w:hAnsi="宋体" w:cs="宋体"/>
          <w:szCs w:val="21"/>
          <w:highlight w:val="none"/>
        </w:rPr>
      </w:pPr>
      <w:r>
        <w:rPr>
          <w:rFonts w:hint="eastAsia" w:ascii="宋体" w:hAnsi="宋体" w:cs="宋体"/>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E682880">
      <w:pPr>
        <w:spacing w:line="360" w:lineRule="auto"/>
        <w:ind w:firstLine="480"/>
        <w:rPr>
          <w:rFonts w:hint="eastAsia" w:ascii="宋体" w:hAnsi="宋体" w:cs="宋体"/>
          <w:szCs w:val="21"/>
          <w:highlight w:val="none"/>
        </w:rPr>
      </w:pPr>
      <w:r>
        <w:rPr>
          <w:rFonts w:hint="eastAsia" w:ascii="宋体" w:hAnsi="宋体" w:cs="宋体"/>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CE6A159">
      <w:pPr>
        <w:spacing w:line="360" w:lineRule="auto"/>
        <w:ind w:firstLine="480"/>
        <w:rPr>
          <w:rFonts w:hint="eastAsia" w:ascii="宋体" w:hAnsi="宋体" w:cs="宋体"/>
          <w:szCs w:val="21"/>
          <w:highlight w:val="none"/>
        </w:rPr>
      </w:pPr>
      <w:r>
        <w:rPr>
          <w:rFonts w:hint="eastAsia" w:ascii="宋体" w:hAnsi="宋体" w:cs="宋体"/>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6C8ADEC">
      <w:pPr>
        <w:spacing w:line="360" w:lineRule="auto"/>
        <w:ind w:firstLine="480"/>
        <w:rPr>
          <w:rFonts w:hint="eastAsia" w:ascii="宋体" w:hAnsi="宋体" w:cs="宋体"/>
          <w:szCs w:val="21"/>
          <w:highlight w:val="none"/>
        </w:rPr>
      </w:pPr>
      <w:r>
        <w:rPr>
          <w:rFonts w:hint="eastAsia" w:ascii="宋体" w:hAnsi="宋体" w:cs="宋体"/>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BC5015D">
      <w:pPr>
        <w:spacing w:line="360" w:lineRule="auto"/>
        <w:ind w:firstLine="480"/>
        <w:rPr>
          <w:rFonts w:hint="eastAsia" w:ascii="宋体" w:hAnsi="宋体" w:cs="宋体"/>
          <w:szCs w:val="21"/>
          <w:highlight w:val="none"/>
        </w:rPr>
      </w:pPr>
      <w:r>
        <w:rPr>
          <w:rFonts w:hint="eastAsia" w:ascii="宋体" w:hAnsi="宋体" w:cs="宋体"/>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D22354">
      <w:pPr>
        <w:spacing w:line="360" w:lineRule="auto"/>
        <w:ind w:firstLine="480"/>
        <w:rPr>
          <w:rFonts w:hint="eastAsia" w:ascii="宋体" w:hAnsi="宋体" w:cs="宋体"/>
          <w:szCs w:val="21"/>
          <w:highlight w:val="none"/>
        </w:rPr>
      </w:pPr>
      <w:r>
        <w:rPr>
          <w:rFonts w:hint="eastAsia" w:ascii="宋体" w:hAnsi="宋体" w:cs="宋体"/>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BA21F7C">
      <w:pPr>
        <w:spacing w:line="360" w:lineRule="auto"/>
        <w:ind w:firstLine="480"/>
        <w:rPr>
          <w:rFonts w:hint="eastAsia" w:ascii="宋体" w:hAnsi="宋体" w:cs="宋体"/>
          <w:szCs w:val="21"/>
          <w:highlight w:val="none"/>
        </w:rPr>
      </w:pPr>
      <w:r>
        <w:rPr>
          <w:rFonts w:hint="eastAsia" w:ascii="宋体" w:hAnsi="宋体" w:cs="宋体"/>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59ECD50">
      <w:pPr>
        <w:spacing w:line="360" w:lineRule="auto"/>
        <w:ind w:firstLine="480"/>
        <w:rPr>
          <w:rFonts w:hint="eastAsia" w:ascii="宋体" w:hAnsi="宋体" w:cs="宋体"/>
          <w:szCs w:val="21"/>
          <w:highlight w:val="none"/>
        </w:rPr>
      </w:pPr>
      <w:r>
        <w:rPr>
          <w:rFonts w:hint="eastAsia" w:ascii="宋体" w:hAnsi="宋体" w:cs="宋体"/>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83733E2">
      <w:pPr>
        <w:spacing w:line="360" w:lineRule="auto"/>
        <w:ind w:firstLine="480"/>
        <w:rPr>
          <w:rFonts w:hint="eastAsia" w:ascii="宋体" w:hAnsi="宋体" w:cs="宋体"/>
          <w:szCs w:val="21"/>
          <w:highlight w:val="none"/>
        </w:rPr>
      </w:pPr>
      <w:r>
        <w:rPr>
          <w:rFonts w:hint="eastAsia" w:ascii="宋体" w:hAnsi="宋体" w:cs="宋体"/>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8CE12F5">
      <w:pPr>
        <w:spacing w:line="360" w:lineRule="auto"/>
        <w:ind w:firstLine="480"/>
        <w:rPr>
          <w:rFonts w:hint="eastAsia" w:ascii="宋体" w:hAnsi="宋体" w:cs="宋体"/>
          <w:szCs w:val="21"/>
          <w:highlight w:val="none"/>
        </w:rPr>
      </w:pPr>
      <w:r>
        <w:rPr>
          <w:rFonts w:hint="eastAsia" w:ascii="宋体" w:hAnsi="宋体" w:cs="宋体"/>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4BA2124">
      <w:pPr>
        <w:spacing w:line="360" w:lineRule="auto"/>
        <w:ind w:firstLine="480"/>
        <w:rPr>
          <w:rFonts w:hint="eastAsia" w:ascii="宋体" w:hAnsi="宋体" w:cs="宋体"/>
          <w:szCs w:val="21"/>
          <w:highlight w:val="none"/>
        </w:rPr>
      </w:pPr>
      <w:r>
        <w:rPr>
          <w:rFonts w:hint="eastAsia" w:ascii="宋体" w:hAnsi="宋体" w:cs="宋体"/>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3961748">
      <w:pPr>
        <w:spacing w:line="360" w:lineRule="auto"/>
        <w:ind w:firstLine="480"/>
        <w:rPr>
          <w:highlight w:val="none"/>
        </w:rPr>
      </w:pPr>
      <w:r>
        <w:rPr>
          <w:rFonts w:hint="eastAsia" w:ascii="宋体" w:hAnsi="宋体" w:cs="宋体"/>
          <w:szCs w:val="21"/>
          <w:highlight w:val="none"/>
        </w:rPr>
        <w:t>（十六）其他未列明行业。从业人员300人以下的为中小微型企业。其中，从业人员100人及以上的为中型企业；从业人员10人及以上的为小型企业；从业人员10人以下的为微型企业。</w:t>
      </w:r>
    </w:p>
    <w:p w14:paraId="0007D74A">
      <w:pPr>
        <w:spacing w:line="360" w:lineRule="auto"/>
        <w:rPr>
          <w:highlight w:val="none"/>
        </w:rPr>
      </w:pPr>
    </w:p>
    <w:p w14:paraId="47DAD2DA">
      <w:pPr>
        <w:pStyle w:val="34"/>
        <w:spacing w:line="360" w:lineRule="auto"/>
        <w:rPr>
          <w:rFonts w:hint="eastAsia" w:ascii="宋体" w:hAnsi="宋体"/>
          <w:bCs/>
          <w:sz w:val="21"/>
          <w:szCs w:val="21"/>
          <w:highlight w:val="none"/>
        </w:rPr>
      </w:pPr>
    </w:p>
    <w:p w14:paraId="30D7CC0A">
      <w:pPr>
        <w:keepNext/>
        <w:keepLines/>
        <w:spacing w:before="260" w:after="260" w:line="360" w:lineRule="auto"/>
        <w:jc w:val="center"/>
        <w:outlineLvl w:val="1"/>
        <w:rPr>
          <w:rFonts w:hint="eastAsia" w:ascii="宋体" w:hAnsi="宋体"/>
          <w:szCs w:val="21"/>
          <w:highlight w:val="none"/>
        </w:rPr>
      </w:pPr>
    </w:p>
    <w:p w14:paraId="61BB70C0">
      <w:pPr>
        <w:spacing w:line="360" w:lineRule="auto"/>
        <w:rPr>
          <w:highlight w:val="none"/>
        </w:rPr>
      </w:pPr>
    </w:p>
    <w:p w14:paraId="6EE15CC6">
      <w:pPr>
        <w:spacing w:line="360" w:lineRule="auto"/>
        <w:rPr>
          <w:highlight w:val="none"/>
        </w:rPr>
      </w:pPr>
    </w:p>
    <w:p w14:paraId="56B10EC4">
      <w:pPr>
        <w:spacing w:line="360" w:lineRule="auto"/>
        <w:rPr>
          <w:highlight w:val="none"/>
        </w:rPr>
      </w:pPr>
    </w:p>
    <w:p w14:paraId="61905256">
      <w:pPr>
        <w:spacing w:line="360" w:lineRule="auto"/>
        <w:rPr>
          <w:highlight w:val="none"/>
        </w:rPr>
      </w:pPr>
    </w:p>
    <w:p w14:paraId="78B3A4F9">
      <w:pPr>
        <w:spacing w:line="360" w:lineRule="auto"/>
        <w:rPr>
          <w:highlight w:val="none"/>
        </w:rPr>
      </w:pPr>
    </w:p>
    <w:p w14:paraId="1ECCEEB4">
      <w:pPr>
        <w:spacing w:line="360" w:lineRule="auto"/>
        <w:rPr>
          <w:highlight w:val="none"/>
        </w:rPr>
      </w:pPr>
    </w:p>
    <w:p w14:paraId="36EE27D0">
      <w:pPr>
        <w:spacing w:line="360" w:lineRule="auto"/>
        <w:rPr>
          <w:highlight w:val="none"/>
        </w:rPr>
      </w:pPr>
    </w:p>
    <w:p w14:paraId="697A27C8">
      <w:pPr>
        <w:spacing w:line="360" w:lineRule="auto"/>
        <w:rPr>
          <w:highlight w:val="none"/>
        </w:rPr>
      </w:pPr>
    </w:p>
    <w:p w14:paraId="0E551FF7">
      <w:pPr>
        <w:rPr>
          <w:highlight w:val="none"/>
        </w:rPr>
      </w:pPr>
    </w:p>
    <w:sectPr>
      <w:footerReference r:id="rId11"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Microsoft New Tai Lue">
    <w:panose1 w:val="020B0502040204020203"/>
    <w:charset w:val="00"/>
    <w:family w:val="swiss"/>
    <w:pitch w:val="default"/>
    <w:sig w:usb0="00000003" w:usb1="00000000" w:usb2="80000000" w:usb3="00000000" w:csb0="0000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B6D55">
    <w:pPr>
      <w:pStyle w:val="13"/>
      <w:jc w:val="center"/>
      <w:rPr>
        <w:rStyle w:val="23"/>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43F5F23">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043F5F23">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p w14:paraId="008E3484">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5555A">
    <w:pPr>
      <w:pStyle w:val="13"/>
      <w:ind w:firstLine="4140" w:firstLineChars="230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95</w:t>
    </w:r>
    <w:r>
      <w:rPr>
        <w:szCs w:val="21"/>
      </w:rPr>
      <w:fldChar w:fldCharType="end"/>
    </w:r>
    <w:r>
      <w:rPr>
        <w:rFonts w:hint="eastAsia"/>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9EFC0">
    <w:pPr>
      <w:pStyle w:val="13"/>
      <w:jc w:val="cente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994F40C">
                          <w:pPr>
                            <w:pStyle w:val="1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1994F40C">
                    <w:pPr>
                      <w:pStyle w:val="1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1A26B">
    <w:pPr>
      <w:pStyle w:val="39"/>
    </w:pPr>
    <w:r>
      <w:rPr>
        <w:lang w:eastAsia="zh-CN"/>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0069E8E">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wrap="none" lIns="0" tIns="0" rIns="0" bIns="0" upright="1">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cUAEHDAQAAhwMAAA4AAABkcnMvZTJvRG9jLnhtbK1TzY7TMBC+I/EO&#10;lu80aQWoGzVdIVWLkBCstPAAruM0lvynGbdJXwDegBMX7jxXn4Oxk3TRctkDF3fG437zfd9MNreD&#10;NeykALV3NV8uSs6Uk77R7lDzr1/uXq05wyhcI4x3quZnhfx2+/LFpg+VWvnOm0YBIxCHVR9q3sUY&#10;qqJA2SkrcOGDclRsPVgRKYVD0YDoCd2aYlWWb4veQxPAS4VIt7uxyCdEeA6gb1st1c7Lo1Uujqig&#10;jIgkCTsdkG8z27ZVMn5uW1SRmZqT0phPakLxPp3FdiOqA4jQaTlREM+h8ESTFdpR0yvUTkTBjqD/&#10;gbJagkffxoX0thiFZEdIxbJ84s1DJ4LKWshqDFfT8f/Byk+ne2C6qfnr8uaGMycszfzy4/vl5+/L&#10;r2/sTXKoD1jRw4dwD1OGFCa5Qws2/ZIQNmRXz1dX1RCZpMvlerVel2S4pNqcEE7x+PcAGN8rb1kK&#10;ag40tuymOH3EOD6dn6RuxqXT+TttzFhNN0WiORJLURz2w8R275szqexpzDV3tNWcmQ+OXEwbMQcw&#10;B/s5OAbQh474LDMZDO+OkXpmQqnDCDs1pvlkSdMupQX4O8+vHr+f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lxQAQcMBAACHAwAADgAAAAAAAAABACAAAAAfAQAAZHJzL2Uyb0RvYy54bWxQ&#10;SwUGAAAAAAYABgBZAQAAVAUAAAAA&#10;">
              <v:fill on="f" focussize="0,0"/>
              <v:stroke on="f"/>
              <v:imagedata o:title=""/>
              <o:lock v:ext="edit" aspectratio="f"/>
              <v:textbox inset="0mm,0mm,0mm,0mm" style="mso-fit-shape-to-text:t;">
                <w:txbxContent>
                  <w:p w14:paraId="30069E8E">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62F2F">
    <w:pPr>
      <w:pStyle w:val="13"/>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C7E84D">
                          <w:pPr>
                            <w:pStyle w:val="13"/>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C7E84D">
                    <w:pPr>
                      <w:pStyle w:val="13"/>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08515">
    <w:pPr>
      <w:pStyle w:val="13"/>
      <w:jc w:val="center"/>
    </w:pPr>
    <w:r>
      <w:rPr>
        <w:rFonts w:hint="eastAsia"/>
      </w:rPr>
      <w:t>第</w:t>
    </w:r>
    <w:r>
      <w:fldChar w:fldCharType="begin"/>
    </w:r>
    <w:r>
      <w:rPr>
        <w:rStyle w:val="23"/>
      </w:rPr>
      <w:instrText xml:space="preserve"> PAGE </w:instrText>
    </w:r>
    <w:r>
      <w:fldChar w:fldCharType="separate"/>
    </w:r>
    <w:r>
      <w:rPr>
        <w:rStyle w:val="23"/>
      </w:rPr>
      <w:t>7</w:t>
    </w:r>
    <w:r>
      <w:fldChar w:fldCharType="end"/>
    </w:r>
    <w:r>
      <w:rPr>
        <w:rFonts w:hint="eastAsia"/>
      </w:rPr>
      <w:t>页共</w:t>
    </w:r>
    <w:r>
      <w:fldChar w:fldCharType="begin"/>
    </w:r>
    <w:r>
      <w:rPr>
        <w:rStyle w:val="23"/>
      </w:rPr>
      <w:instrText xml:space="preserve"> NUMPAGES </w:instrText>
    </w:r>
    <w:r>
      <w:fldChar w:fldCharType="separate"/>
    </w:r>
    <w:r>
      <w:rPr>
        <w:rStyle w:val="23"/>
      </w:rPr>
      <w:t>11</w:t>
    </w:r>
    <w:r>
      <w:fldChar w:fldCharType="end"/>
    </w:r>
    <w:r>
      <w:rPr>
        <w:rFonts w:hint="eastAsia"/>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A154D">
    <w:pPr>
      <w:pStyle w:val="13"/>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101" name="文本框 4"/>
              <wp:cNvGraphicFramePr/>
              <a:graphic xmlns:a="http://schemas.openxmlformats.org/drawingml/2006/main">
                <a:graphicData uri="http://schemas.microsoft.com/office/word/2010/wordprocessingShape">
                  <wps:wsp>
                    <wps:cNvSpPr/>
                    <wps:spPr>
                      <a:xfrm>
                        <a:off x="0" y="0"/>
                        <a:ext cx="1664335" cy="218440"/>
                      </a:xfrm>
                      <a:prstGeom prst="rect">
                        <a:avLst/>
                      </a:prstGeom>
                      <a:ln>
                        <a:noFill/>
                      </a:ln>
                    </wps:spPr>
                    <wps:txbx>
                      <w:txbxContent>
                        <w:p w14:paraId="7DF42F4A">
                          <w:pPr>
                            <w:pStyle w:val="19"/>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vert="horz" wrap="square" lIns="0" tIns="0" rIns="0" bIns="0" anchor="t">
                      <a:noAutofit/>
                    </wps:bodyPr>
                  </wps:wsp>
                </a:graphicData>
              </a:graphic>
            </wp:anchor>
          </w:drawing>
        </mc:Choice>
        <mc:Fallback>
          <w:pict>
            <v:rect id="文本框 4" o:spid="_x0000_s1026" o:spt="1" style="position:absolute;left:0pt;margin-top:0pt;height:17.2pt;width:131.05pt;mso-position-horizontal:center;mso-position-horizontal-relative:margin;z-index:251662336;mso-width-relative:page;mso-height-relative:page;" filled="f" stroked="f" coordsize="21600,21600" o:gfxdata="UEsDBAoAAAAAAIdO4kAAAAAAAAAAAAAAAAAEAAAAZHJzL1BLAwQUAAAACACHTuJAPlDI4dcAAAAE&#10;AQAADwAAAGRycy9kb3ducmV2LnhtbE2PzU7DMBCE70i8g7VI3KiTUFVtiFNV/KgcaYtUuLnxkkS1&#10;11G8bQpPj+mlXFYazWjm22J+clYcsQ+tJwXpKAGBVHnTUq3gffNyNwURWJPR1hMq+MYA8/L6qtC5&#10;8QOt8LjmWsQSCrlW0DB3uZShatDpMPIdUvS+fO80R9nX0vR6iOXOyixJJtLpluJCozt8bLDarw9O&#10;wXLaLT5e/c9Q2+fP5fZtO3vazFip25s0eQDBeOJLGP7wIzqUkWnnD2SCsAriI3y+0csmWQpip+B+&#10;PAZZFvI/fPkLUEsDBBQAAAAIAIdO4kCcFTji0gEAAJMDAAAOAAAAZHJzL2Uyb0RvYy54bWytU0tu&#10;2zAQ3RfoHQjua0mOawSC5SCAkaJA0QZIewCaIi0C/HVIW3IP0N6gq26677l8jg4p2SnSTRbZUEMO&#10;+ea9N6PVzWA0OQgIytmGVrOSEmG5a5XdNfTL57s315SEyGzLtLOioUcR6M369atV72sxd53TrQCC&#10;IDbUvW9oF6OviyLwThgWZs4Li0npwLCIW9gVLbAe0Y0u5mW5LHoHrQfHRQh4uhmTdEKE5wA6KRUX&#10;G8f3Rtg4ooLQLKKk0Ckf6DqzlVLw+EnKICLRDUWlMa9YBONtWov1itU7YL5TfKLAnkPhiSbDlMWi&#10;F6gNi4zsQf0HZRQHF5yMM+5MMQrJjqCKqnzizUPHvMha0OrgL6aHl4PlHw/3QFTb0EVVVpRYZrDn&#10;p58/Tr/+nH5/J4vkUO9DjRcf/D1Mu4BhkjtIMOmLQsiQXT1eXBVDJBwPq+VycXX1lhKOuXl1vVhk&#10;24vH1x5CfCecISloKGDXspns8CFErIhXz1dSMW3Tat2d0nrMppMisRx5pSgO22Eiu3XtEUXizCN4&#10;5+AbJT12vKHh656BoES/t2hpGo9zAOdgew6Y5fi0oSMz62730UmV2aVyY42JBfYqk57mKg3Dv/t8&#10;6/FfWv8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lDI4dcAAAAEAQAADwAAAAAAAAABACAAAAAi&#10;AAAAZHJzL2Rvd25yZXYueG1sUEsBAhQAFAAAAAgAh07iQJwVOOLSAQAAkwMAAA4AAAAAAAAAAQAg&#10;AAAAJgEAAGRycy9lMm9Eb2MueG1sUEsFBgAAAAAGAAYAWQEAAGoFAAAAAA==&#10;">
              <v:fill on="f" focussize="0,0"/>
              <v:stroke on="f"/>
              <v:imagedata o:title=""/>
              <o:lock v:ext="edit" aspectratio="f"/>
              <v:textbox inset="0mm,0mm,0mm,0mm">
                <w:txbxContent>
                  <w:p w14:paraId="7DF42F4A">
                    <w:pPr>
                      <w:pStyle w:val="19"/>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75C99">
    <w:pPr>
      <w:pStyle w:val="13"/>
      <w:jc w:val="center"/>
    </w:pPr>
    <w:r>
      <w:rPr>
        <w:rFonts w:hint="eastAsia"/>
      </w:rPr>
      <w:t>第</w:t>
    </w:r>
    <w:r>
      <w:fldChar w:fldCharType="begin"/>
    </w:r>
    <w:r>
      <w:rPr>
        <w:rStyle w:val="23"/>
      </w:rPr>
      <w:instrText xml:space="preserve"> PAGE </w:instrText>
    </w:r>
    <w:r>
      <w:fldChar w:fldCharType="separate"/>
    </w:r>
    <w:r>
      <w:rPr>
        <w:rStyle w:val="23"/>
      </w:rPr>
      <w:t>7</w:t>
    </w:r>
    <w:r>
      <w:fldChar w:fldCharType="end"/>
    </w:r>
    <w:r>
      <w:rPr>
        <w:rFonts w:hint="eastAsia"/>
      </w:rPr>
      <w:t>页共</w:t>
    </w:r>
    <w:r>
      <w:fldChar w:fldCharType="begin"/>
    </w:r>
    <w:r>
      <w:rPr>
        <w:rStyle w:val="23"/>
      </w:rPr>
      <w:instrText xml:space="preserve"> NUMPAGES </w:instrText>
    </w:r>
    <w:r>
      <w:fldChar w:fldCharType="separate"/>
    </w:r>
    <w:r>
      <w:rPr>
        <w:rStyle w:val="23"/>
      </w:rPr>
      <w:t>11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7F772">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5"/>
      <w:numFmt w:val="chineseCounting"/>
      <w:suff w:val="space"/>
      <w:lvlText w:val="第%1章"/>
      <w:lvlJc w:val="left"/>
      <w:rPr>
        <w:rFonts w:hint="eastAsia"/>
      </w:rPr>
    </w:lvl>
  </w:abstractNum>
  <w:abstractNum w:abstractNumId="1">
    <w:nsid w:val="00000002"/>
    <w:multiLevelType w:val="singleLevel"/>
    <w:tmpl w:val="00000002"/>
    <w:lvl w:ilvl="0" w:tentative="0">
      <w:start w:val="7"/>
      <w:numFmt w:val="chineseCounting"/>
      <w:suff w:val="nothing"/>
      <w:lvlText w:val="%1、"/>
      <w:lvlJc w:val="left"/>
      <w:rPr>
        <w:rFonts w:hint="eastAsia"/>
      </w:rPr>
    </w:lvl>
  </w:abstractNum>
  <w:abstractNum w:abstractNumId="2">
    <w:nsid w:val="00000003"/>
    <w:multiLevelType w:val="multilevel"/>
    <w:tmpl w:val="00000003"/>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0000004"/>
    <w:multiLevelType w:val="singleLevel"/>
    <w:tmpl w:val="00000004"/>
    <w:lvl w:ilvl="0" w:tentative="0">
      <w:start w:val="3"/>
      <w:numFmt w:val="chineseCounting"/>
      <w:suff w:val="space"/>
      <w:lvlText w:val="第%1章"/>
      <w:lvlJc w:val="left"/>
      <w:rPr>
        <w:rFonts w:hint="eastAsia"/>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672"/>
    <w:rsid w:val="00086E1F"/>
    <w:rsid w:val="001473DE"/>
    <w:rsid w:val="001A0ABB"/>
    <w:rsid w:val="002A6CB2"/>
    <w:rsid w:val="002F1672"/>
    <w:rsid w:val="003E4ACC"/>
    <w:rsid w:val="004A25A3"/>
    <w:rsid w:val="005E1BAE"/>
    <w:rsid w:val="00634AC2"/>
    <w:rsid w:val="006B05E1"/>
    <w:rsid w:val="007D5D69"/>
    <w:rsid w:val="00A1577E"/>
    <w:rsid w:val="00A96D58"/>
    <w:rsid w:val="00AE638A"/>
    <w:rsid w:val="00BE0001"/>
    <w:rsid w:val="00C81C50"/>
    <w:rsid w:val="00C95B94"/>
    <w:rsid w:val="00CA167E"/>
    <w:rsid w:val="00DC7106"/>
    <w:rsid w:val="00E347E3"/>
    <w:rsid w:val="00EA2321"/>
    <w:rsid w:val="00EB4106"/>
    <w:rsid w:val="00F425A3"/>
    <w:rsid w:val="050B312C"/>
    <w:rsid w:val="05620DEC"/>
    <w:rsid w:val="06A94235"/>
    <w:rsid w:val="0AB64C56"/>
    <w:rsid w:val="0B5A7049"/>
    <w:rsid w:val="0C2F08E1"/>
    <w:rsid w:val="0E1002EC"/>
    <w:rsid w:val="0FD7617F"/>
    <w:rsid w:val="1142348F"/>
    <w:rsid w:val="13A9398F"/>
    <w:rsid w:val="149D09F7"/>
    <w:rsid w:val="14F90D1E"/>
    <w:rsid w:val="161812A0"/>
    <w:rsid w:val="16492046"/>
    <w:rsid w:val="164D4817"/>
    <w:rsid w:val="174C0EB0"/>
    <w:rsid w:val="19465120"/>
    <w:rsid w:val="195677C1"/>
    <w:rsid w:val="1AA94344"/>
    <w:rsid w:val="1DD719EB"/>
    <w:rsid w:val="1FEA7078"/>
    <w:rsid w:val="20856823"/>
    <w:rsid w:val="20A21132"/>
    <w:rsid w:val="212F2DA3"/>
    <w:rsid w:val="215D6C36"/>
    <w:rsid w:val="21E62252"/>
    <w:rsid w:val="2260051E"/>
    <w:rsid w:val="22D55C33"/>
    <w:rsid w:val="233A4637"/>
    <w:rsid w:val="251A2B13"/>
    <w:rsid w:val="26863D20"/>
    <w:rsid w:val="29322131"/>
    <w:rsid w:val="293F6F31"/>
    <w:rsid w:val="2A4409F1"/>
    <w:rsid w:val="2C2A28AA"/>
    <w:rsid w:val="2C845082"/>
    <w:rsid w:val="2CF3193A"/>
    <w:rsid w:val="2D6E6D99"/>
    <w:rsid w:val="2FA51961"/>
    <w:rsid w:val="311434E1"/>
    <w:rsid w:val="315E75B6"/>
    <w:rsid w:val="31B82594"/>
    <w:rsid w:val="33581212"/>
    <w:rsid w:val="345E1D0D"/>
    <w:rsid w:val="353655C1"/>
    <w:rsid w:val="35E23C6C"/>
    <w:rsid w:val="3724764D"/>
    <w:rsid w:val="38CE730F"/>
    <w:rsid w:val="39543E64"/>
    <w:rsid w:val="39832D11"/>
    <w:rsid w:val="3B362400"/>
    <w:rsid w:val="3BC6289E"/>
    <w:rsid w:val="3E692757"/>
    <w:rsid w:val="400C017D"/>
    <w:rsid w:val="407974DD"/>
    <w:rsid w:val="409F5F96"/>
    <w:rsid w:val="41576B3D"/>
    <w:rsid w:val="41F401E1"/>
    <w:rsid w:val="42F563DD"/>
    <w:rsid w:val="43100707"/>
    <w:rsid w:val="438A5161"/>
    <w:rsid w:val="43ED3904"/>
    <w:rsid w:val="44D574AE"/>
    <w:rsid w:val="45670373"/>
    <w:rsid w:val="45C50B81"/>
    <w:rsid w:val="46FA3F26"/>
    <w:rsid w:val="48AF7049"/>
    <w:rsid w:val="4A9C42DB"/>
    <w:rsid w:val="4B66403D"/>
    <w:rsid w:val="4D024C91"/>
    <w:rsid w:val="4D9D146B"/>
    <w:rsid w:val="4E966F75"/>
    <w:rsid w:val="4EEC3289"/>
    <w:rsid w:val="4F664A63"/>
    <w:rsid w:val="4FFE3107"/>
    <w:rsid w:val="51E84A9D"/>
    <w:rsid w:val="554A58C1"/>
    <w:rsid w:val="55766122"/>
    <w:rsid w:val="55CE7E2C"/>
    <w:rsid w:val="579140D1"/>
    <w:rsid w:val="582643D6"/>
    <w:rsid w:val="58C72561"/>
    <w:rsid w:val="58D47297"/>
    <w:rsid w:val="59E05A28"/>
    <w:rsid w:val="5AA55B71"/>
    <w:rsid w:val="5B3951BF"/>
    <w:rsid w:val="5C542DE2"/>
    <w:rsid w:val="5CFF1E3E"/>
    <w:rsid w:val="5DE8778C"/>
    <w:rsid w:val="604B4265"/>
    <w:rsid w:val="607C5211"/>
    <w:rsid w:val="60CF2BFD"/>
    <w:rsid w:val="621648DA"/>
    <w:rsid w:val="6389035D"/>
    <w:rsid w:val="64276F13"/>
    <w:rsid w:val="64BD0615"/>
    <w:rsid w:val="65263CC1"/>
    <w:rsid w:val="6692162D"/>
    <w:rsid w:val="683525B2"/>
    <w:rsid w:val="688208EF"/>
    <w:rsid w:val="6A994179"/>
    <w:rsid w:val="6D83496C"/>
    <w:rsid w:val="6E026E65"/>
    <w:rsid w:val="709A0B0D"/>
    <w:rsid w:val="70B36D70"/>
    <w:rsid w:val="70EF575C"/>
    <w:rsid w:val="716C734D"/>
    <w:rsid w:val="71A3298F"/>
    <w:rsid w:val="72A80BFD"/>
    <w:rsid w:val="73110C6E"/>
    <w:rsid w:val="731A70DD"/>
    <w:rsid w:val="75D82E83"/>
    <w:rsid w:val="775970B6"/>
    <w:rsid w:val="787677BD"/>
    <w:rsid w:val="79813945"/>
    <w:rsid w:val="7AC44749"/>
    <w:rsid w:val="7D9C78B7"/>
    <w:rsid w:val="7DEB7B49"/>
    <w:rsid w:val="7F3776C9"/>
    <w:rsid w:val="7F9F5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5">
    <w:name w:val="heading 1"/>
    <w:basedOn w:val="1"/>
    <w:next w:val="1"/>
    <w:qFormat/>
    <w:uiPriority w:val="0"/>
    <w:pPr>
      <w:keepNext/>
      <w:outlineLvl w:val="0"/>
    </w:pPr>
    <w:rPr>
      <w:rFonts w:ascii="楷体_GB2312" w:hAnsi="Times New Roman" w:eastAsia="楷体_GB2312"/>
      <w:sz w:val="28"/>
      <w:szCs w:val="20"/>
    </w:rPr>
  </w:style>
  <w:style w:type="paragraph" w:styleId="6">
    <w:name w:val="heading 2"/>
    <w:basedOn w:val="1"/>
    <w:next w:val="7"/>
    <w:qFormat/>
    <w:uiPriority w:val="0"/>
    <w:pPr>
      <w:keepNext/>
      <w:keepLines/>
      <w:spacing w:before="260" w:after="260" w:line="416" w:lineRule="auto"/>
      <w:jc w:val="center"/>
      <w:outlineLvl w:val="1"/>
    </w:pPr>
    <w:rPr>
      <w:rFonts w:ascii="Arial" w:hAnsi="Arial" w:eastAsia="幼圆"/>
      <w:b/>
      <w:sz w:val="44"/>
      <w:szCs w:val="20"/>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rFonts w:cs="宋体"/>
      <w:szCs w:val="21"/>
    </w:rPr>
  </w:style>
  <w:style w:type="paragraph" w:styleId="3">
    <w:name w:val="Body Text Indent"/>
    <w:basedOn w:val="1"/>
    <w:next w:val="4"/>
    <w:link w:val="40"/>
    <w:qFormat/>
    <w:uiPriority w:val="0"/>
    <w:pPr>
      <w:ind w:firstLine="645"/>
    </w:pPr>
    <w:rPr>
      <w:rFonts w:ascii="楷体_GB2312" w:hAnsi="Times New Roman" w:eastAsia="楷体_GB2312"/>
      <w:sz w:val="32"/>
      <w:szCs w:val="20"/>
    </w:rPr>
  </w:style>
  <w:style w:type="paragraph" w:styleId="4">
    <w:name w:val="envelope return"/>
    <w:basedOn w:val="1"/>
    <w:unhideWhenUsed/>
    <w:qFormat/>
    <w:uiPriority w:val="99"/>
    <w:pPr>
      <w:snapToGrid w:val="0"/>
    </w:pPr>
    <w:rPr>
      <w:rFonts w:ascii="Arial" w:hAnsi="Arial"/>
    </w:rPr>
  </w:style>
  <w:style w:type="paragraph" w:styleId="7">
    <w:name w:val="Normal Indent"/>
    <w:basedOn w:val="1"/>
    <w:qFormat/>
    <w:uiPriority w:val="0"/>
    <w:pPr>
      <w:ind w:firstLine="420"/>
    </w:pPr>
    <w:rPr>
      <w:rFonts w:ascii="Times New Roman" w:hAnsi="Times New Roman"/>
      <w:szCs w:val="20"/>
    </w:rPr>
  </w:style>
  <w:style w:type="paragraph" w:styleId="8">
    <w:name w:val="Body Text"/>
    <w:basedOn w:val="1"/>
    <w:next w:val="9"/>
    <w:link w:val="41"/>
    <w:qFormat/>
    <w:uiPriority w:val="0"/>
    <w:rPr>
      <w:rFonts w:ascii="楷体_GB2312" w:hAnsi="Arial" w:eastAsia="楷体_GB2312"/>
      <w:sz w:val="28"/>
      <w:szCs w:val="20"/>
    </w:rPr>
  </w:style>
  <w:style w:type="paragraph" w:customStyle="1" w:styleId="9">
    <w:name w:val="Default"/>
    <w:next w:val="10"/>
    <w:qFormat/>
    <w:uiPriority w:val="0"/>
    <w:pPr>
      <w:widowControl w:val="0"/>
    </w:pPr>
    <w:rPr>
      <w:rFonts w:ascii="黑体" w:hAnsi="Times New Roman" w:eastAsia="黑体" w:cs="黑体"/>
      <w:color w:val="000000"/>
      <w:sz w:val="24"/>
      <w:szCs w:val="24"/>
      <w:lang w:val="en-US" w:eastAsia="zh-CN" w:bidi="ar-SA"/>
    </w:rPr>
  </w:style>
  <w:style w:type="paragraph" w:styleId="10">
    <w:name w:val="toc 2"/>
    <w:basedOn w:val="1"/>
    <w:next w:val="1"/>
    <w:qFormat/>
    <w:uiPriority w:val="39"/>
    <w:pPr>
      <w:ind w:left="420" w:firstLine="200"/>
      <w:jc w:val="left"/>
    </w:pPr>
    <w:rPr>
      <w:rFonts w:eastAsia="仿宋"/>
      <w:sz w:val="28"/>
    </w:rPr>
  </w:style>
  <w:style w:type="paragraph" w:styleId="11">
    <w:name w:val="Block Text"/>
    <w:basedOn w:val="1"/>
    <w:qFormat/>
    <w:uiPriority w:val="0"/>
    <w:rPr>
      <w:rFonts w:eastAsia="微软雅黑"/>
    </w:rPr>
  </w:style>
  <w:style w:type="paragraph" w:styleId="12">
    <w:name w:val="Plain Text"/>
    <w:basedOn w:val="1"/>
    <w:next w:val="7"/>
    <w:link w:val="43"/>
    <w:qFormat/>
    <w:uiPriority w:val="99"/>
    <w:rPr>
      <w:rFonts w:ascii="宋体" w:hAnsi="Courier New"/>
      <w:szCs w:val="20"/>
    </w:rPr>
  </w:style>
  <w:style w:type="paragraph" w:styleId="13">
    <w:name w:val="footer"/>
    <w:basedOn w:val="1"/>
    <w:link w:val="44"/>
    <w:qFormat/>
    <w:uiPriority w:val="0"/>
    <w:pPr>
      <w:tabs>
        <w:tab w:val="center" w:pos="4153"/>
        <w:tab w:val="right" w:pos="8306"/>
      </w:tabs>
      <w:jc w:val="left"/>
    </w:pPr>
    <w:rPr>
      <w:rFonts w:ascii="Times New Roman" w:hAnsi="Times New Roman"/>
      <w:sz w:val="18"/>
      <w:szCs w:val="20"/>
    </w:rPr>
  </w:style>
  <w:style w:type="paragraph" w:styleId="14">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styleId="16">
    <w:name w:val="Body Text 2"/>
    <w:basedOn w:val="1"/>
    <w:qFormat/>
    <w:uiPriority w:val="0"/>
    <w:pPr>
      <w:spacing w:after="120" w:line="480" w:lineRule="auto"/>
    </w:pPr>
  </w:style>
  <w:style w:type="paragraph" w:styleId="17">
    <w:name w:val="Normal (Web)"/>
    <w:basedOn w:val="1"/>
    <w:qFormat/>
    <w:uiPriority w:val="0"/>
    <w:rPr>
      <w:sz w:val="24"/>
    </w:rPr>
  </w:style>
  <w:style w:type="paragraph" w:styleId="18">
    <w:name w:val="Title"/>
    <w:basedOn w:val="1"/>
    <w:next w:val="1"/>
    <w:qFormat/>
    <w:uiPriority w:val="0"/>
    <w:pPr>
      <w:spacing w:before="240" w:after="60"/>
      <w:jc w:val="center"/>
      <w:outlineLvl w:val="0"/>
    </w:pPr>
    <w:rPr>
      <w:rFonts w:ascii="等线 Light" w:hAnsi="等线 Light"/>
      <w:b/>
      <w:bCs/>
      <w:sz w:val="32"/>
      <w:szCs w:val="32"/>
    </w:rPr>
  </w:style>
  <w:style w:type="paragraph" w:styleId="19">
    <w:name w:val="Body Text First Indent"/>
    <w:basedOn w:val="1"/>
    <w:qFormat/>
    <w:uiPriority w:val="0"/>
    <w:pPr>
      <w:spacing w:line="360" w:lineRule="auto"/>
      <w:ind w:firstLine="200" w:firstLineChars="200"/>
    </w:pPr>
    <w:rPr>
      <w:rFonts w:ascii="仿宋_GB2312" w:eastAsia="仿宋_GB2312"/>
      <w:sz w:val="30"/>
      <w:szCs w:val="30"/>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qFormat/>
    <w:uiPriority w:val="0"/>
    <w:rPr>
      <w:rFonts w:ascii="Times New Roman" w:hAnsi="Times New Roman" w:eastAsia="宋体" w:cs="Times New Roman"/>
    </w:rPr>
  </w:style>
  <w:style w:type="character" w:styleId="24">
    <w:name w:val="Hyperlink"/>
    <w:qFormat/>
    <w:uiPriority w:val="99"/>
    <w:rPr>
      <w:rFonts w:ascii="Times New Roman" w:hAnsi="Times New Roman" w:eastAsia="宋体" w:cs="Times New Roman"/>
      <w:color w:val="0000FF"/>
      <w:u w:val="single"/>
    </w:rPr>
  </w:style>
  <w:style w:type="paragraph" w:customStyle="1" w:styleId="25">
    <w:name w:val="Body text|1"/>
    <w:basedOn w:val="1"/>
    <w:qFormat/>
    <w:uiPriority w:val="0"/>
    <w:pPr>
      <w:spacing w:line="391" w:lineRule="auto"/>
      <w:ind w:firstLine="400"/>
    </w:pPr>
    <w:rPr>
      <w:rFonts w:ascii="宋体" w:hAnsi="宋体" w:cs="宋体"/>
      <w:sz w:val="26"/>
      <w:szCs w:val="26"/>
      <w:lang w:val="zh-TW" w:eastAsia="zh-TW" w:bidi="zh-TW"/>
    </w:rPr>
  </w:style>
  <w:style w:type="character" w:customStyle="1" w:styleId="26">
    <w:name w:val="页眉 字符"/>
    <w:basedOn w:val="22"/>
    <w:link w:val="14"/>
    <w:qFormat/>
    <w:uiPriority w:val="0"/>
    <w:rPr>
      <w:rFonts w:ascii="Calibri" w:hAnsi="Calibri" w:eastAsia="宋体" w:cs="Times New Roman"/>
      <w:sz w:val="18"/>
      <w:szCs w:val="18"/>
    </w:rPr>
  </w:style>
  <w:style w:type="paragraph" w:customStyle="1" w:styleId="27">
    <w:name w:val="普通正文"/>
    <w:basedOn w:val="1"/>
    <w:qFormat/>
    <w:uiPriority w:val="0"/>
    <w:pPr>
      <w:adjustRightInd w:val="0"/>
      <w:spacing w:line="360" w:lineRule="auto"/>
      <w:ind w:firstLine="482" w:firstLineChars="200"/>
      <w:jc w:val="left"/>
      <w:textAlignment w:val="baseline"/>
    </w:pPr>
    <w:rPr>
      <w:rFonts w:ascii="Arial" w:hAnsi="Arial"/>
      <w:sz w:val="24"/>
    </w:rPr>
  </w:style>
  <w:style w:type="paragraph" w:customStyle="1" w:styleId="28">
    <w:name w:val="TOC 标题1"/>
    <w:basedOn w:val="5"/>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styleId="29">
    <w:name w:val="List Paragraph"/>
    <w:basedOn w:val="1"/>
    <w:qFormat/>
    <w:uiPriority w:val="34"/>
    <w:pPr>
      <w:ind w:firstLine="420" w:firstLineChars="200"/>
    </w:pPr>
  </w:style>
  <w:style w:type="paragraph" w:customStyle="1" w:styleId="30">
    <w:name w:val="目录 31"/>
    <w:basedOn w:val="1"/>
    <w:next w:val="1"/>
    <w:qFormat/>
    <w:uiPriority w:val="0"/>
    <w:pPr>
      <w:ind w:left="840"/>
    </w:pPr>
    <w:rPr>
      <w:lang w:eastAsia="en-US"/>
    </w:rPr>
  </w:style>
  <w:style w:type="paragraph" w:customStyle="1" w:styleId="31">
    <w:name w:val="标题 31"/>
    <w:basedOn w:val="1"/>
    <w:next w:val="1"/>
    <w:qFormat/>
    <w:uiPriority w:val="0"/>
    <w:pPr>
      <w:keepNext/>
      <w:keepLines/>
      <w:spacing w:before="260" w:after="260" w:line="413" w:lineRule="auto"/>
      <w:outlineLvl w:val="2"/>
    </w:pPr>
    <w:rPr>
      <w:b/>
      <w:sz w:val="32"/>
      <w:szCs w:val="20"/>
    </w:rPr>
  </w:style>
  <w:style w:type="paragraph" w:customStyle="1" w:styleId="32">
    <w:name w:val="sh4"/>
    <w:basedOn w:val="1"/>
    <w:qFormat/>
    <w:uiPriority w:val="0"/>
    <w:pPr>
      <w:spacing w:line="460" w:lineRule="exact"/>
      <w:ind w:firstLine="420"/>
    </w:pPr>
    <w:rPr>
      <w:rFonts w:ascii="宋体" w:hAnsi="宋体"/>
      <w:szCs w:val="21"/>
      <w:lang w:eastAsia="en-US"/>
    </w:rPr>
  </w:style>
  <w:style w:type="paragraph" w:customStyle="1" w:styleId="33">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34">
    <w:name w:val="Char"/>
    <w:basedOn w:val="1"/>
    <w:qFormat/>
    <w:uiPriority w:val="0"/>
    <w:pPr>
      <w:tabs>
        <w:tab w:val="left" w:pos="360"/>
      </w:tabs>
    </w:pPr>
    <w:rPr>
      <w:rFonts w:ascii="Times New Roman" w:hAnsi="Times New Roman"/>
      <w:sz w:val="24"/>
    </w:rPr>
  </w:style>
  <w:style w:type="paragraph" w:customStyle="1" w:styleId="35">
    <w:name w:val="二级目录"/>
    <w:next w:val="1"/>
    <w:qFormat/>
    <w:uiPriority w:val="99"/>
    <w:pPr>
      <w:tabs>
        <w:tab w:val="left" w:pos="720"/>
      </w:tabs>
      <w:ind w:left="567" w:hanging="567"/>
    </w:pPr>
    <w:rPr>
      <w:rFonts w:ascii="Times New Roman" w:hAnsi="Times New Roman" w:eastAsia="宋体" w:cs="Times New Roman"/>
      <w:b/>
      <w:kern w:val="2"/>
      <w:sz w:val="30"/>
      <w:szCs w:val="28"/>
      <w:lang w:val="en-US" w:eastAsia="zh-CN" w:bidi="ar-SA"/>
    </w:rPr>
  </w:style>
  <w:style w:type="paragraph" w:customStyle="1" w:styleId="36">
    <w:name w:val="简单回函地址"/>
    <w:basedOn w:val="1"/>
    <w:qFormat/>
    <w:uiPriority w:val="0"/>
    <w:rPr>
      <w:rFonts w:ascii="Times New Roman" w:hAnsi="Times New Roman" w:cs="宋体"/>
      <w:szCs w:val="21"/>
    </w:rPr>
  </w:style>
  <w:style w:type="paragraph" w:customStyle="1" w:styleId="37">
    <w:name w:val="索引 41"/>
    <w:basedOn w:val="1"/>
    <w:next w:val="1"/>
    <w:qFormat/>
    <w:uiPriority w:val="0"/>
    <w:pPr>
      <w:ind w:left="1260"/>
    </w:pPr>
  </w:style>
  <w:style w:type="paragraph" w:customStyle="1" w:styleId="38">
    <w:name w:val="普通(网站)1"/>
    <w:basedOn w:val="1"/>
    <w:qFormat/>
    <w:uiPriority w:val="0"/>
    <w:pPr>
      <w:spacing w:before="100" w:beforeAutospacing="1" w:after="100" w:afterAutospacing="1"/>
      <w:jc w:val="left"/>
    </w:pPr>
    <w:rPr>
      <w:sz w:val="24"/>
      <w:lang w:eastAsia="en-US"/>
    </w:rPr>
  </w:style>
  <w:style w:type="paragraph" w:customStyle="1" w:styleId="39">
    <w:name w:val="页脚11"/>
    <w:basedOn w:val="1"/>
    <w:qFormat/>
    <w:uiPriority w:val="0"/>
    <w:pPr>
      <w:tabs>
        <w:tab w:val="center" w:pos="4153"/>
        <w:tab w:val="right" w:pos="8306"/>
      </w:tabs>
      <w:jc w:val="left"/>
    </w:pPr>
    <w:rPr>
      <w:sz w:val="18"/>
      <w:szCs w:val="18"/>
      <w:lang w:eastAsia="en-US"/>
    </w:rPr>
  </w:style>
  <w:style w:type="character" w:customStyle="1" w:styleId="40">
    <w:name w:val="正文文本缩进 字符"/>
    <w:basedOn w:val="22"/>
    <w:link w:val="3"/>
    <w:qFormat/>
    <w:uiPriority w:val="0"/>
    <w:rPr>
      <w:rFonts w:hint="eastAsia" w:ascii="楷体_GB2312" w:hAnsi="Times New Roman" w:eastAsia="楷体_GB2312" w:cs="楷体_GB2312"/>
      <w:kern w:val="2"/>
      <w:sz w:val="32"/>
    </w:rPr>
  </w:style>
  <w:style w:type="character" w:customStyle="1" w:styleId="41">
    <w:name w:val="正文文本 字符"/>
    <w:basedOn w:val="22"/>
    <w:link w:val="8"/>
    <w:qFormat/>
    <w:uiPriority w:val="0"/>
    <w:rPr>
      <w:kern w:val="2"/>
      <w:sz w:val="21"/>
      <w:szCs w:val="24"/>
    </w:rPr>
  </w:style>
  <w:style w:type="character" w:customStyle="1" w:styleId="42">
    <w:name w:val="纯文本 字符"/>
    <w:basedOn w:val="22"/>
    <w:qFormat/>
    <w:uiPriority w:val="0"/>
    <w:rPr>
      <w:rFonts w:ascii="等线" w:hAnsi="Courier New" w:eastAsia="等线" w:cs="Courier New"/>
      <w:kern w:val="2"/>
      <w:sz w:val="21"/>
      <w:szCs w:val="24"/>
    </w:rPr>
  </w:style>
  <w:style w:type="character" w:customStyle="1" w:styleId="43">
    <w:name w:val="纯文本 字符1"/>
    <w:basedOn w:val="22"/>
    <w:link w:val="12"/>
    <w:qFormat/>
    <w:uiPriority w:val="0"/>
    <w:rPr>
      <w:rFonts w:hint="eastAsia" w:ascii="宋体" w:hAnsi="Courier New" w:eastAsia="宋体" w:cs="宋体"/>
      <w:kern w:val="2"/>
      <w:sz w:val="21"/>
    </w:rPr>
  </w:style>
  <w:style w:type="character" w:customStyle="1" w:styleId="44">
    <w:name w:val="页脚 字符1"/>
    <w:basedOn w:val="22"/>
    <w:link w:val="13"/>
    <w:qFormat/>
    <w:uiPriority w:val="0"/>
    <w:rPr>
      <w:kern w:val="2"/>
      <w:sz w:val="18"/>
    </w:rPr>
  </w:style>
  <w:style w:type="character" w:customStyle="1" w:styleId="45">
    <w:name w:val="页脚 字符"/>
    <w:basedOn w:val="22"/>
    <w:qFormat/>
    <w:uiPriority w:val="0"/>
    <w:rPr>
      <w:rFonts w:hint="default" w:ascii="Calibri" w:hAnsi="Calibri" w:cs="Calibri"/>
      <w:kern w:val="2"/>
      <w:sz w:val="18"/>
      <w:szCs w:val="18"/>
    </w:rPr>
  </w:style>
  <w:style w:type="paragraph" w:customStyle="1" w:styleId="46">
    <w:name w:val="正文文本首行缩进1"/>
    <w:next w:val="47"/>
    <w:qFormat/>
    <w:uiPriority w:val="0"/>
    <w:pPr>
      <w:widowControl w:val="0"/>
      <w:spacing w:after="120"/>
      <w:ind w:firstLine="420"/>
      <w:jc w:val="both"/>
    </w:pPr>
    <w:rPr>
      <w:rFonts w:ascii="Times New Roman" w:hAnsi="Times New Roman" w:eastAsia="宋体" w:cs="Times New Roman"/>
      <w:sz w:val="21"/>
      <w:szCs w:val="24"/>
      <w:lang w:val="en-US" w:eastAsia="zh-CN" w:bidi="ar-SA"/>
    </w:rPr>
  </w:style>
  <w:style w:type="paragraph" w:customStyle="1" w:styleId="47">
    <w:name w:val="正文缩进11"/>
    <w:basedOn w:val="1"/>
    <w:next w:val="1"/>
    <w:qFormat/>
    <w:uiPriority w:val="0"/>
    <w:pPr>
      <w:ind w:firstLine="420"/>
      <w:jc w:val="left"/>
    </w:pPr>
    <w:rPr>
      <w:rFonts w:eastAsia="楷体_GB2312"/>
      <w:sz w:val="24"/>
      <w:lang w:eastAsia="en-US"/>
    </w:rPr>
  </w:style>
  <w:style w:type="paragraph" w:customStyle="1" w:styleId="48">
    <w:name w:val="msonospacing"/>
    <w:basedOn w:val="1"/>
    <w:qFormat/>
    <w:uiPriority w:val="0"/>
    <w:rPr>
      <w:kern w:val="2"/>
      <w:szCs w:val="22"/>
    </w:rPr>
  </w:style>
  <w:style w:type="paragraph" w:customStyle="1" w:styleId="49">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50</Pages>
  <Words>24165</Words>
  <Characters>25253</Characters>
  <Lines>1265</Lines>
  <Paragraphs>1168</Paragraphs>
  <TotalTime>2</TotalTime>
  <ScaleCrop>false</ScaleCrop>
  <LinksUpToDate>false</LinksUpToDate>
  <CharactersWithSpaces>25963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2025-07-09T08:22:00Z</dcterms:created>
  <dc:creator>Administrator</dc:creator>
  <cp:lastModifiedBy>歪点羊子</cp:lastModifiedBy>
  <cp:lastPrinted>2025-10-10T06:02:00Z</cp:lastPrinted>
  <dcterms:modified xsi:type="dcterms:W3CDTF">2025-10-13T07:57:42Z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eyJoZGlkIjoiNjZjY2E1ZjhjOTY5ZWM3MTZlNzk1NGExOWYyZDJkYTEiLCJ1c2VySWQiOiI0OTA3MzQ5MDEifQ==</vt:lpwstr>
  </property>
  <property fmtid="{D5CDD505-2E9C-101B-9397-08002B2CF9AE}" pid="4" name="ICV">
    <vt:lpwstr>0623EDD58B8244CA86C1321562C39684_13</vt:lpwstr>
  </property>
</Properties>
</file>